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587" w:rsidRPr="004242E5" w:rsidRDefault="00904587" w:rsidP="00904587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TN"/>
        </w:rPr>
      </w:pPr>
      <w:r w:rsidRPr="004242E5"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 xml:space="preserve">تأجيل تاريخ </w:t>
      </w:r>
      <w:proofErr w:type="spellStart"/>
      <w:r w:rsidRPr="004242E5"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>بتة</w:t>
      </w:r>
      <w:proofErr w:type="spellEnd"/>
      <w:r w:rsidRPr="004242E5"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 xml:space="preserve"> عمومية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 xml:space="preserve">لبيع كمية حطب متأتية من تشذيب أشجار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>سرول</w:t>
      </w:r>
      <w:proofErr w:type="spellEnd"/>
      <w:r w:rsidRPr="004242E5"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>بالاشهار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 xml:space="preserve"> والمزاد العلني </w:t>
      </w:r>
      <w:r w:rsidRPr="004242E5">
        <w:rPr>
          <w:rFonts w:asciiTheme="majorBidi" w:hAnsiTheme="majorBidi" w:cstheme="majorBidi" w:hint="cs"/>
          <w:b/>
          <w:bCs/>
          <w:sz w:val="32"/>
          <w:szCs w:val="32"/>
          <w:rtl/>
          <w:lang w:bidi="ar-TN"/>
        </w:rPr>
        <w:t>بولاية بن عروس</w:t>
      </w:r>
    </w:p>
    <w:p w:rsidR="0015237D" w:rsidRDefault="002B3D4A" w:rsidP="00844B85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لقد</w:t>
      </w:r>
      <w:r w:rsidR="00EE0434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تعذر</w:t>
      </w:r>
      <w:r w:rsidR="00EE0434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 w:rsidR="00844B85">
        <w:rPr>
          <w:rFonts w:asciiTheme="majorBidi" w:hAnsiTheme="majorBidi" w:cstheme="majorBidi" w:hint="cs"/>
          <w:sz w:val="32"/>
          <w:szCs w:val="32"/>
          <w:rtl/>
          <w:lang w:bidi="ar-TN"/>
        </w:rPr>
        <w:t>على الإدارة</w:t>
      </w:r>
      <w:r w:rsidR="0015237D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الجهوية لأملاك الدولة والشؤون العقارية ببن </w:t>
      </w:r>
      <w:r w:rsidR="00844B85">
        <w:rPr>
          <w:rFonts w:asciiTheme="majorBidi" w:hAnsiTheme="majorBidi" w:cstheme="majorBidi" w:hint="cs"/>
          <w:sz w:val="32"/>
          <w:szCs w:val="32"/>
          <w:rtl/>
          <w:lang w:bidi="ar-TN"/>
        </w:rPr>
        <w:t>عروس اجراء</w:t>
      </w:r>
      <w:r w:rsidR="0015237D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البتة المتعلقة </w:t>
      </w:r>
      <w:r w:rsidR="0015237D">
        <w:rPr>
          <w:rFonts w:asciiTheme="majorBidi" w:hAnsiTheme="majorBidi" w:cstheme="majorBidi" w:hint="cs"/>
          <w:sz w:val="32"/>
          <w:szCs w:val="32"/>
          <w:rtl/>
          <w:lang w:bidi="ar-TN"/>
        </w:rPr>
        <w:t>بالبيع</w:t>
      </w:r>
      <w:r w:rsidR="0015237D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بالمزاد العلني الاختياري لكمية حطب متأتية من تشذيب أشجار </w:t>
      </w:r>
      <w:proofErr w:type="spellStart"/>
      <w:r w:rsidR="0015237D">
        <w:rPr>
          <w:rFonts w:asciiTheme="majorBidi" w:hAnsiTheme="majorBidi" w:cstheme="majorBidi" w:hint="cs"/>
          <w:sz w:val="32"/>
          <w:szCs w:val="32"/>
          <w:rtl/>
          <w:lang w:bidi="ar-TN"/>
        </w:rPr>
        <w:t>سرول</w:t>
      </w:r>
      <w:proofErr w:type="spellEnd"/>
      <w:r w:rsidR="0015237D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متواجدة بحرم المبيت الجامعي بن عروس </w:t>
      </w:r>
      <w:r w:rsidR="00EE0434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بمقر معتمدية بن </w:t>
      </w:r>
      <w:r w:rsidR="00844B85">
        <w:rPr>
          <w:rFonts w:asciiTheme="majorBidi" w:hAnsiTheme="majorBidi" w:cstheme="majorBidi" w:hint="cs"/>
          <w:sz w:val="32"/>
          <w:szCs w:val="32"/>
          <w:rtl/>
          <w:lang w:bidi="ar-TN"/>
        </w:rPr>
        <w:t>عروس.</w:t>
      </w:r>
      <w:r w:rsidR="00EE0434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>فتقرر تأجيل البتة بالتنسيق مع السيد والي بن عروس و</w:t>
      </w:r>
      <w:r w:rsidR="00844B85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رئيس </w:t>
      </w:r>
      <w:r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بلدية بن عروس إلى يوم الخميس </w:t>
      </w:r>
      <w:r w:rsidR="00844B85">
        <w:rPr>
          <w:rFonts w:asciiTheme="majorBidi" w:hAnsiTheme="majorBidi" w:cstheme="majorBidi" w:hint="cs"/>
          <w:sz w:val="32"/>
          <w:szCs w:val="32"/>
          <w:rtl/>
          <w:lang w:bidi="ar-TN"/>
        </w:rPr>
        <w:t>25 مارس 2021 وذلك حسب الشروط التالية.</w:t>
      </w:r>
      <w:r w:rsidR="00EE0434">
        <w:rPr>
          <w:rFonts w:asciiTheme="majorBidi" w:hAnsiTheme="majorBidi" w:cstheme="majorBidi" w:hint="cs"/>
          <w:sz w:val="32"/>
          <w:szCs w:val="32"/>
          <w:rtl/>
          <w:lang w:bidi="ar-TN"/>
        </w:rPr>
        <w:t xml:space="preserve"> </w:t>
      </w:r>
    </w:p>
    <w:tbl>
      <w:tblPr>
        <w:tblStyle w:val="Grilledutableau"/>
        <w:bidiVisual/>
        <w:tblW w:w="12611" w:type="dxa"/>
        <w:jc w:val="center"/>
        <w:tblLook w:val="04A0" w:firstRow="1" w:lastRow="0" w:firstColumn="1" w:lastColumn="0" w:noHBand="0" w:noVBand="1"/>
      </w:tblPr>
      <w:tblGrid>
        <w:gridCol w:w="2268"/>
        <w:gridCol w:w="1579"/>
        <w:gridCol w:w="1546"/>
        <w:gridCol w:w="1548"/>
        <w:gridCol w:w="1916"/>
        <w:gridCol w:w="1641"/>
        <w:gridCol w:w="2113"/>
      </w:tblGrid>
      <w:tr w:rsidR="00BC09EC" w:rsidTr="00844B85">
        <w:trPr>
          <w:jc w:val="center"/>
        </w:trPr>
        <w:tc>
          <w:tcPr>
            <w:tcW w:w="2268" w:type="dxa"/>
          </w:tcPr>
          <w:p w:rsidR="00BC09EC" w:rsidRPr="005C1FC8" w:rsidRDefault="00BC09EC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5C1F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الولاية</w:t>
            </w:r>
          </w:p>
        </w:tc>
        <w:tc>
          <w:tcPr>
            <w:tcW w:w="1579" w:type="dxa"/>
          </w:tcPr>
          <w:p w:rsidR="00BC09EC" w:rsidRDefault="00BC09EC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5C1F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المعتمدية</w:t>
            </w:r>
          </w:p>
          <w:p w:rsidR="00BC09EC" w:rsidRDefault="00BC09EC" w:rsidP="0074265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المنطقة</w:t>
            </w:r>
          </w:p>
          <w:p w:rsidR="00BC09EC" w:rsidRPr="005C1FC8" w:rsidRDefault="00BC09EC" w:rsidP="00092AC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6" w:type="dxa"/>
          </w:tcPr>
          <w:p w:rsidR="00BC09EC" w:rsidRPr="005C1FC8" w:rsidRDefault="00BC09EC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5C1F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نوع الأشجار</w:t>
            </w:r>
          </w:p>
        </w:tc>
        <w:tc>
          <w:tcPr>
            <w:tcW w:w="1548" w:type="dxa"/>
          </w:tcPr>
          <w:p w:rsidR="00BC09EC" w:rsidRPr="005C1FC8" w:rsidRDefault="00BC09EC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5C1F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عدد الأصول</w:t>
            </w:r>
          </w:p>
        </w:tc>
        <w:tc>
          <w:tcPr>
            <w:tcW w:w="1916" w:type="dxa"/>
          </w:tcPr>
          <w:p w:rsidR="00BC09EC" w:rsidRPr="005C1FC8" w:rsidRDefault="00BC09EC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5C1F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السعر الافتتاحي</w:t>
            </w:r>
          </w:p>
          <w:p w:rsidR="00BC09EC" w:rsidRPr="005C1FC8" w:rsidRDefault="00BC09EC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5C1F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(الدينار)</w:t>
            </w:r>
          </w:p>
        </w:tc>
        <w:tc>
          <w:tcPr>
            <w:tcW w:w="1641" w:type="dxa"/>
          </w:tcPr>
          <w:p w:rsidR="00BC09EC" w:rsidRPr="005C1FC8" w:rsidRDefault="00BC09EC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5C1F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مكان البتة</w:t>
            </w:r>
          </w:p>
        </w:tc>
        <w:tc>
          <w:tcPr>
            <w:tcW w:w="2113" w:type="dxa"/>
          </w:tcPr>
          <w:p w:rsidR="00BC09EC" w:rsidRPr="005C1FC8" w:rsidRDefault="00BC09EC" w:rsidP="005C1F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 w:rsidRPr="005C1F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تاريخ البتة</w:t>
            </w:r>
          </w:p>
        </w:tc>
      </w:tr>
      <w:tr w:rsidR="00BC09EC" w:rsidTr="00844B85">
        <w:trPr>
          <w:trHeight w:val="1988"/>
          <w:jc w:val="center"/>
        </w:trPr>
        <w:tc>
          <w:tcPr>
            <w:tcW w:w="2268" w:type="dxa"/>
          </w:tcPr>
          <w:p w:rsidR="001B6B57" w:rsidRDefault="001B6B57" w:rsidP="00420C1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BC09EC" w:rsidRPr="00420C18" w:rsidRDefault="00BC09EC" w:rsidP="001B6B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420C18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بن عروس</w:t>
            </w:r>
          </w:p>
        </w:tc>
        <w:tc>
          <w:tcPr>
            <w:tcW w:w="1579" w:type="dxa"/>
          </w:tcPr>
          <w:p w:rsidR="00BC09EC" w:rsidRDefault="00BC09EC" w:rsidP="00420C1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بن عروس</w:t>
            </w:r>
          </w:p>
          <w:p w:rsidR="00BC09EC" w:rsidRDefault="00BC09EC" w:rsidP="007426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  <w:p w:rsidR="00BC09EC" w:rsidRPr="00420C18" w:rsidRDefault="00BC09EC" w:rsidP="0074265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بن عروس</w:t>
            </w:r>
          </w:p>
        </w:tc>
        <w:tc>
          <w:tcPr>
            <w:tcW w:w="1546" w:type="dxa"/>
          </w:tcPr>
          <w:p w:rsidR="00BC09EC" w:rsidRPr="00012150" w:rsidRDefault="00BC09EC" w:rsidP="006F6456">
            <w:pPr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</w:p>
          <w:p w:rsidR="00BC09EC" w:rsidRPr="00012150" w:rsidRDefault="00BB41F4" w:rsidP="006F6456">
            <w:pPr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  <w:proofErr w:type="spellStart"/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سرول</w:t>
            </w:r>
            <w:proofErr w:type="spellEnd"/>
          </w:p>
          <w:p w:rsidR="00BC09EC" w:rsidRPr="00420C18" w:rsidRDefault="00BC09EC" w:rsidP="00420C1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</w:p>
        </w:tc>
        <w:tc>
          <w:tcPr>
            <w:tcW w:w="1548" w:type="dxa"/>
          </w:tcPr>
          <w:p w:rsidR="00BC09EC" w:rsidRPr="00BC09EC" w:rsidRDefault="00BC09EC" w:rsidP="00592FBA">
            <w:pPr>
              <w:spacing w:line="360" w:lineRule="auto"/>
              <w:jc w:val="center"/>
              <w:rPr>
                <w:rFonts w:cs="Mudir MT"/>
                <w:sz w:val="20"/>
                <w:szCs w:val="20"/>
                <w:rtl/>
                <w:lang w:bidi="ar-TN"/>
              </w:rPr>
            </w:pPr>
          </w:p>
          <w:p w:rsidR="00BC09EC" w:rsidRPr="00592FBA" w:rsidRDefault="00BC09EC" w:rsidP="00592FBA">
            <w:pPr>
              <w:spacing w:line="360" w:lineRule="auto"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  <w:r>
              <w:rPr>
                <w:rFonts w:cs="Mudir MT" w:hint="cs"/>
                <w:sz w:val="32"/>
                <w:szCs w:val="32"/>
                <w:rtl/>
                <w:lang w:bidi="ar-TN"/>
              </w:rPr>
              <w:t>46</w:t>
            </w:r>
          </w:p>
          <w:p w:rsidR="00BC09EC" w:rsidRDefault="00BC09EC" w:rsidP="00592FBA">
            <w:pPr>
              <w:spacing w:line="360" w:lineRule="auto"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</w:p>
          <w:p w:rsidR="00BC09EC" w:rsidRDefault="00BC09EC" w:rsidP="00592FBA">
            <w:pPr>
              <w:spacing w:line="360" w:lineRule="auto"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</w:p>
          <w:p w:rsidR="00BC09EC" w:rsidRPr="00592FBA" w:rsidRDefault="00BC09EC" w:rsidP="00592FBA">
            <w:pPr>
              <w:spacing w:line="360" w:lineRule="auto"/>
              <w:jc w:val="center"/>
              <w:rPr>
                <w:rFonts w:cs="Mudir MT"/>
                <w:sz w:val="32"/>
                <w:szCs w:val="32"/>
                <w:rtl/>
                <w:lang w:bidi="ar-TN"/>
              </w:rPr>
            </w:pPr>
          </w:p>
        </w:tc>
        <w:tc>
          <w:tcPr>
            <w:tcW w:w="1916" w:type="dxa"/>
          </w:tcPr>
          <w:p w:rsidR="00BC09EC" w:rsidRPr="001B6B57" w:rsidRDefault="00BC09EC" w:rsidP="00AC70D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</w:p>
          <w:p w:rsidR="00BC09EC" w:rsidRPr="00592FBA" w:rsidRDefault="00BC09EC" w:rsidP="00BC09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TN"/>
              </w:rPr>
              <w:t>288</w:t>
            </w:r>
          </w:p>
        </w:tc>
        <w:tc>
          <w:tcPr>
            <w:tcW w:w="1641" w:type="dxa"/>
          </w:tcPr>
          <w:p w:rsidR="00BC09EC" w:rsidRDefault="00BC09EC" w:rsidP="00B17800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</w:p>
          <w:p w:rsidR="00BC09EC" w:rsidRPr="00592FBA" w:rsidRDefault="00E710E6" w:rsidP="00BC09EC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بلدية</w:t>
            </w:r>
          </w:p>
          <w:p w:rsidR="00BC09EC" w:rsidRPr="00592FBA" w:rsidRDefault="00BC09EC" w:rsidP="008E19CD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  <w:r w:rsidRPr="00592FBA">
              <w:rPr>
                <w:rFonts w:cs="Times New Roman" w:hint="cs"/>
                <w:sz w:val="32"/>
                <w:szCs w:val="32"/>
                <w:rtl/>
                <w:lang w:bidi="ar-TN"/>
              </w:rPr>
              <w:t xml:space="preserve"> بن عروس</w:t>
            </w:r>
          </w:p>
        </w:tc>
        <w:tc>
          <w:tcPr>
            <w:tcW w:w="2113" w:type="dxa"/>
          </w:tcPr>
          <w:p w:rsidR="00BC09EC" w:rsidRPr="00592FBA" w:rsidRDefault="00BC09EC" w:rsidP="00E710E6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  <w:r w:rsidRPr="00592FBA">
              <w:rPr>
                <w:rFonts w:cs="Times New Roman" w:hint="cs"/>
                <w:sz w:val="32"/>
                <w:szCs w:val="32"/>
                <w:rtl/>
                <w:lang w:bidi="ar-TN"/>
              </w:rPr>
              <w:t xml:space="preserve">يوم </w:t>
            </w:r>
            <w:proofErr w:type="spellStart"/>
            <w:r w:rsidR="00E710E6">
              <w:rPr>
                <w:rFonts w:cs="Times New Roman" w:hint="cs"/>
                <w:sz w:val="32"/>
                <w:szCs w:val="32"/>
                <w:rtl/>
                <w:lang w:bidi="ar-TN"/>
              </w:rPr>
              <w:t>الخمبس</w:t>
            </w:r>
            <w:proofErr w:type="spellEnd"/>
            <w:r w:rsidRPr="00592FBA">
              <w:rPr>
                <w:rFonts w:cs="Times New Roman" w:hint="cs"/>
                <w:sz w:val="32"/>
                <w:szCs w:val="32"/>
                <w:rtl/>
                <w:lang w:bidi="ar-TN"/>
              </w:rPr>
              <w:t xml:space="preserve"> </w:t>
            </w:r>
          </w:p>
          <w:p w:rsidR="00BC09EC" w:rsidRPr="00592FBA" w:rsidRDefault="00E710E6" w:rsidP="00BC09EC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  <w:r>
              <w:rPr>
                <w:rFonts w:cs="Times New Roman" w:hint="cs"/>
                <w:sz w:val="32"/>
                <w:szCs w:val="32"/>
                <w:rtl/>
                <w:lang w:bidi="ar-TN"/>
              </w:rPr>
              <w:t>25</w:t>
            </w:r>
            <w:r w:rsidR="00BC09EC" w:rsidRPr="00592FBA">
              <w:rPr>
                <w:rFonts w:cs="Times New Roman" w:hint="cs"/>
                <w:sz w:val="32"/>
                <w:szCs w:val="32"/>
                <w:rtl/>
                <w:lang w:bidi="ar-TN"/>
              </w:rPr>
              <w:t xml:space="preserve"> </w:t>
            </w:r>
            <w:proofErr w:type="gramStart"/>
            <w:r w:rsidR="00BC09EC">
              <w:rPr>
                <w:rFonts w:cs="Times New Roman" w:hint="cs"/>
                <w:sz w:val="32"/>
                <w:szCs w:val="32"/>
                <w:rtl/>
                <w:lang w:bidi="ar-TN"/>
              </w:rPr>
              <w:t>مارس</w:t>
            </w:r>
            <w:r w:rsidR="00BC09EC" w:rsidRPr="00592FBA">
              <w:rPr>
                <w:rFonts w:cs="Times New Roman" w:hint="cs"/>
                <w:sz w:val="32"/>
                <w:szCs w:val="32"/>
                <w:rtl/>
                <w:lang w:bidi="ar-TN"/>
              </w:rPr>
              <w:t xml:space="preserve">  </w:t>
            </w:r>
            <w:r w:rsidR="00BC09EC">
              <w:rPr>
                <w:rFonts w:cs="Times New Roman" w:hint="cs"/>
                <w:sz w:val="32"/>
                <w:szCs w:val="32"/>
                <w:rtl/>
                <w:lang w:bidi="ar-TN"/>
              </w:rPr>
              <w:t>2021</w:t>
            </w:r>
            <w:proofErr w:type="gramEnd"/>
          </w:p>
          <w:p w:rsidR="00BC09EC" w:rsidRPr="00592FBA" w:rsidRDefault="00BC09EC" w:rsidP="00420C18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  <w:r w:rsidRPr="00592FBA">
              <w:rPr>
                <w:rFonts w:cs="Times New Roman" w:hint="cs"/>
                <w:sz w:val="32"/>
                <w:szCs w:val="32"/>
                <w:rtl/>
                <w:lang w:bidi="ar-TN"/>
              </w:rPr>
              <w:t>على الساعة</w:t>
            </w:r>
          </w:p>
          <w:p w:rsidR="00BC09EC" w:rsidRPr="00592FBA" w:rsidRDefault="00BC09EC" w:rsidP="00420C18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  <w:r w:rsidRPr="00592FBA">
              <w:rPr>
                <w:rFonts w:cs="Times New Roman" w:hint="cs"/>
                <w:sz w:val="32"/>
                <w:szCs w:val="32"/>
                <w:rtl/>
                <w:lang w:bidi="ar-TN"/>
              </w:rPr>
              <w:t>العاشرة صباحا</w:t>
            </w:r>
          </w:p>
          <w:p w:rsidR="00BC09EC" w:rsidRPr="00592FBA" w:rsidRDefault="00BC09EC" w:rsidP="00E710E6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  <w:r w:rsidRPr="00592FBA">
              <w:rPr>
                <w:rFonts w:cs="Times New Roman" w:hint="cs"/>
                <w:sz w:val="32"/>
                <w:szCs w:val="32"/>
                <w:rtl/>
                <w:lang w:bidi="ar-TN"/>
              </w:rPr>
              <w:t xml:space="preserve">بمقر </w:t>
            </w:r>
            <w:r w:rsidR="00E710E6">
              <w:rPr>
                <w:rFonts w:cs="Times New Roman" w:hint="cs"/>
                <w:sz w:val="32"/>
                <w:szCs w:val="32"/>
                <w:rtl/>
                <w:lang w:bidi="ar-TN"/>
              </w:rPr>
              <w:t>بلدية</w:t>
            </w:r>
          </w:p>
          <w:p w:rsidR="00BC09EC" w:rsidRPr="00592FBA" w:rsidRDefault="00BC09EC" w:rsidP="008E19CD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  <w:r w:rsidRPr="00592FBA">
              <w:rPr>
                <w:rFonts w:cs="Times New Roman" w:hint="cs"/>
                <w:sz w:val="32"/>
                <w:szCs w:val="32"/>
                <w:rtl/>
                <w:lang w:bidi="ar-TN"/>
              </w:rPr>
              <w:t xml:space="preserve"> بن عروس</w:t>
            </w:r>
          </w:p>
          <w:p w:rsidR="00BC09EC" w:rsidRPr="00592FBA" w:rsidRDefault="00BC09EC" w:rsidP="00A50B68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</w:p>
          <w:p w:rsidR="00BC09EC" w:rsidRPr="00592FBA" w:rsidRDefault="00BC09EC" w:rsidP="00420C18">
            <w:pPr>
              <w:bidi/>
              <w:jc w:val="center"/>
              <w:rPr>
                <w:rFonts w:cs="Times New Roman"/>
                <w:sz w:val="32"/>
                <w:szCs w:val="32"/>
                <w:rtl/>
                <w:lang w:bidi="ar-TN"/>
              </w:rPr>
            </w:pPr>
          </w:p>
        </w:tc>
      </w:tr>
    </w:tbl>
    <w:p w:rsidR="00BF2147" w:rsidRDefault="00BF2147" w:rsidP="00BB41F4">
      <w:pPr>
        <w:pStyle w:val="Paragraphedeliste"/>
        <w:bidi/>
        <w:spacing w:line="240" w:lineRule="auto"/>
        <w:ind w:left="-3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- يعترف الشاري بأنه عاين أصول </w:t>
      </w:r>
      <w:r w:rsidR="00BB41F4">
        <w:rPr>
          <w:rFonts w:asciiTheme="majorBidi" w:hAnsiTheme="majorBidi" w:cstheme="majorBidi" w:hint="cs"/>
          <w:sz w:val="28"/>
          <w:szCs w:val="28"/>
          <w:rtl/>
          <w:lang w:bidi="ar-TN"/>
        </w:rPr>
        <w:t>أشجار</w:t>
      </w:r>
      <w:r w:rsidR="0053273F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proofErr w:type="spellStart"/>
      <w:r w:rsidR="00BB41F4">
        <w:rPr>
          <w:rFonts w:asciiTheme="majorBidi" w:hAnsiTheme="majorBidi" w:cstheme="majorBidi" w:hint="cs"/>
          <w:sz w:val="28"/>
          <w:szCs w:val="28"/>
          <w:rtl/>
          <w:lang w:bidi="ar-TN"/>
        </w:rPr>
        <w:t>السرول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المعروضة للبيع ولا يمكن له الطعن في حجمها أو في نوعها.</w:t>
      </w:r>
    </w:p>
    <w:p w:rsidR="00D96424" w:rsidRDefault="00420C18" w:rsidP="001B6B57">
      <w:pPr>
        <w:pStyle w:val="Paragraphedeliste"/>
        <w:bidi/>
        <w:spacing w:line="240" w:lineRule="auto"/>
        <w:ind w:left="-30"/>
        <w:jc w:val="both"/>
        <w:rPr>
          <w:rFonts w:asciiTheme="majorBidi" w:hAnsiTheme="majorBidi" w:cstheme="majorBidi"/>
          <w:sz w:val="24"/>
          <w:szCs w:val="24"/>
          <w:lang w:bidi="ar-TN"/>
        </w:rPr>
      </w:pPr>
      <w:r w:rsidRPr="00420C1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- تحمل مصاريف </w:t>
      </w:r>
      <w:r w:rsidR="001B6B57">
        <w:rPr>
          <w:rFonts w:asciiTheme="majorBidi" w:hAnsiTheme="majorBidi" w:cstheme="majorBidi" w:hint="cs"/>
          <w:sz w:val="28"/>
          <w:szCs w:val="28"/>
          <w:rtl/>
          <w:lang w:bidi="ar-TN"/>
        </w:rPr>
        <w:t>التشذيب</w:t>
      </w:r>
      <w:r w:rsidRPr="00420C1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والرفع وما يترتب عن ذلك من تراخيص على كاهل </w:t>
      </w:r>
      <w:proofErr w:type="spellStart"/>
      <w:r w:rsidRPr="00420C18">
        <w:rPr>
          <w:rFonts w:asciiTheme="majorBidi" w:hAnsiTheme="majorBidi" w:cstheme="majorBidi" w:hint="cs"/>
          <w:sz w:val="28"/>
          <w:szCs w:val="28"/>
          <w:rtl/>
          <w:lang w:bidi="ar-TN"/>
        </w:rPr>
        <w:t>المبتت</w:t>
      </w:r>
      <w:proofErr w:type="spellEnd"/>
      <w:r w:rsidRPr="001D223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له</w:t>
      </w:r>
      <w:r w:rsidRPr="00420C18">
        <w:rPr>
          <w:rFonts w:asciiTheme="majorBidi" w:hAnsiTheme="majorBidi" w:cstheme="majorBidi" w:hint="cs"/>
          <w:sz w:val="24"/>
          <w:szCs w:val="24"/>
          <w:rtl/>
          <w:lang w:bidi="ar-TN"/>
        </w:rPr>
        <w:t>.</w:t>
      </w:r>
    </w:p>
    <w:p w:rsidR="00420C18" w:rsidRDefault="00420C18" w:rsidP="00DA1EF7">
      <w:pPr>
        <w:pStyle w:val="Paragraphedeliste"/>
        <w:bidi/>
        <w:spacing w:line="240" w:lineRule="auto"/>
        <w:ind w:left="-3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 w:rsidRPr="00420C18">
        <w:rPr>
          <w:rFonts w:asciiTheme="majorBidi" w:hAnsiTheme="majorBidi" w:cstheme="majorBidi" w:hint="cs"/>
          <w:sz w:val="28"/>
          <w:szCs w:val="28"/>
          <w:rtl/>
          <w:lang w:bidi="ar-TN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البيع يكون بالحاضر نقدا </w:t>
      </w:r>
      <w:r w:rsidR="009544AB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أو بصك 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مع إضافة 10 </w:t>
      </w:r>
      <w:r>
        <w:rPr>
          <w:rFonts w:asciiTheme="majorBidi" w:hAnsiTheme="majorBidi" w:cstheme="majorBidi"/>
          <w:sz w:val="28"/>
          <w:szCs w:val="28"/>
          <w:rtl/>
          <w:lang w:bidi="ar-TN"/>
        </w:rPr>
        <w:t>%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مصاريف ولا يقع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التبتيت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النهائي إلا بعد 48 ساعة من تاريخ </w:t>
      </w:r>
      <w:r w:rsidR="00DA1EF7">
        <w:rPr>
          <w:rFonts w:asciiTheme="majorBidi" w:hAnsiTheme="majorBidi" w:cstheme="majorBidi" w:hint="cs"/>
          <w:sz w:val="28"/>
          <w:szCs w:val="28"/>
          <w:rtl/>
          <w:lang w:bidi="ar-TN"/>
        </w:rPr>
        <w:t>انتهاء البتة</w:t>
      </w:r>
      <w:r w:rsidR="00BF214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ما لم تتم عملية التسديس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>.</w:t>
      </w:r>
    </w:p>
    <w:p w:rsidR="00420C18" w:rsidRDefault="00420C18" w:rsidP="008C388D">
      <w:pPr>
        <w:pStyle w:val="Paragraphedeliste"/>
        <w:bidi/>
        <w:spacing w:line="240" w:lineRule="auto"/>
        <w:ind w:left="-3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- للمشاركة في البتة يجب دفع ضمان </w:t>
      </w:r>
      <w:r w:rsidR="00213AD0">
        <w:rPr>
          <w:rFonts w:asciiTheme="majorBidi" w:hAnsiTheme="majorBidi" w:cstheme="majorBidi" w:hint="cs"/>
          <w:sz w:val="28"/>
          <w:szCs w:val="28"/>
          <w:rtl/>
          <w:lang w:bidi="ar-TN"/>
        </w:rPr>
        <w:t>قيمته 20</w:t>
      </w:r>
      <w:r w:rsidRPr="00420C18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</w:t>
      </w:r>
      <w:r w:rsidR="00213AD0">
        <w:rPr>
          <w:rFonts w:asciiTheme="majorBidi" w:hAnsiTheme="majorBidi" w:cstheme="majorBidi"/>
          <w:sz w:val="28"/>
          <w:szCs w:val="28"/>
          <w:rtl/>
          <w:lang w:bidi="ar-TN"/>
        </w:rPr>
        <w:t>%</w:t>
      </w:r>
      <w:r w:rsidR="00213AD0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من السعر الافتتاحي نقدا</w:t>
      </w:r>
      <w:r w:rsidR="00BF214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أو بصك مؤشر عليه</w:t>
      </w:r>
      <w:r w:rsidR="008C388D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لدى قابض المالية بمرناق.</w:t>
      </w:r>
    </w:p>
    <w:p w:rsidR="00AC5F05" w:rsidRDefault="00AC5F05" w:rsidP="00AC5F05">
      <w:pPr>
        <w:pStyle w:val="Paragraphedeliste"/>
        <w:bidi/>
        <w:spacing w:line="240" w:lineRule="auto"/>
        <w:ind w:left="-30"/>
        <w:jc w:val="both"/>
        <w:rPr>
          <w:rFonts w:asciiTheme="majorBidi" w:hAnsiTheme="majorBidi" w:cstheme="majorBidi"/>
          <w:sz w:val="28"/>
          <w:szCs w:val="28"/>
          <w:rtl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- </w:t>
      </w:r>
      <w:r w:rsidR="00322E17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يتعين على كل من يرغب </w:t>
      </w:r>
      <w:r w:rsidR="00E2330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في المشاركة </w:t>
      </w:r>
      <w:r w:rsidR="005F7C3D">
        <w:rPr>
          <w:rFonts w:asciiTheme="majorBidi" w:hAnsiTheme="majorBidi" w:cstheme="majorBidi" w:hint="cs"/>
          <w:sz w:val="28"/>
          <w:szCs w:val="28"/>
          <w:rtl/>
          <w:lang w:bidi="ar-TN"/>
        </w:rPr>
        <w:t>في البتة الاستظهار بما يفيد إيداع تصريحه الجبائي الذي حل أجله.</w:t>
      </w:r>
    </w:p>
    <w:p w:rsidR="0040294E" w:rsidRPr="00430BAF" w:rsidRDefault="00213AD0" w:rsidP="00430BAF">
      <w:pPr>
        <w:pStyle w:val="Paragraphedeliste"/>
        <w:bidi/>
        <w:spacing w:line="240" w:lineRule="auto"/>
        <w:ind w:left="-30"/>
        <w:jc w:val="both"/>
        <w:rPr>
          <w:rFonts w:asciiTheme="majorBidi" w:hAnsiTheme="majorBidi" w:cstheme="majorBidi"/>
          <w:sz w:val="28"/>
          <w:szCs w:val="28"/>
          <w:lang w:bidi="ar-TN"/>
        </w:rPr>
      </w:pP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لمزيد من الارشادات يمكن الاتصال </w:t>
      </w:r>
      <w:r w:rsidR="00B44846">
        <w:rPr>
          <w:rFonts w:asciiTheme="majorBidi" w:hAnsiTheme="majorBidi" w:cstheme="majorBidi" w:hint="cs"/>
          <w:sz w:val="28"/>
          <w:szCs w:val="28"/>
          <w:rtl/>
          <w:lang w:bidi="ar-TN"/>
        </w:rPr>
        <w:t>بالإدارة</w:t>
      </w:r>
      <w:r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الجهوية لأملاك الدولة والشؤون العقارية ببن عروس</w:t>
      </w:r>
      <w:r w:rsidR="00C31D59">
        <w:rPr>
          <w:rFonts w:asciiTheme="majorBidi" w:hAnsiTheme="majorBidi" w:cstheme="majorBidi" w:hint="cs"/>
          <w:sz w:val="28"/>
          <w:szCs w:val="28"/>
          <w:rtl/>
          <w:lang w:bidi="ar-TN"/>
        </w:rPr>
        <w:t xml:space="preserve"> مقرها </w:t>
      </w:r>
      <w:r w:rsidR="00A25FD9">
        <w:rPr>
          <w:rFonts w:asciiTheme="majorBidi" w:hAnsiTheme="majorBidi" w:cstheme="majorBidi" w:hint="cs"/>
          <w:sz w:val="28"/>
          <w:szCs w:val="28"/>
          <w:rtl/>
          <w:lang w:bidi="ar-TN"/>
        </w:rPr>
        <w:t>07 نهج 20 مارس رادس.</w:t>
      </w:r>
    </w:p>
    <w:sectPr w:rsidR="0040294E" w:rsidRPr="00430BAF" w:rsidSect="008D6C5F">
      <w:pgSz w:w="16838" w:h="11906" w:orient="landscape"/>
      <w:pgMar w:top="1417" w:right="167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dir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D48D9"/>
    <w:multiLevelType w:val="hybridMultilevel"/>
    <w:tmpl w:val="95DCBE0C"/>
    <w:lvl w:ilvl="0" w:tplc="7C02EB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32"/>
    <w:rsid w:val="00026655"/>
    <w:rsid w:val="00070185"/>
    <w:rsid w:val="00092ACF"/>
    <w:rsid w:val="000D2C49"/>
    <w:rsid w:val="0015237D"/>
    <w:rsid w:val="00175E86"/>
    <w:rsid w:val="00194156"/>
    <w:rsid w:val="001A5308"/>
    <w:rsid w:val="001B6B57"/>
    <w:rsid w:val="001C5853"/>
    <w:rsid w:val="001D223D"/>
    <w:rsid w:val="001E2E71"/>
    <w:rsid w:val="00213AD0"/>
    <w:rsid w:val="00215530"/>
    <w:rsid w:val="002225AA"/>
    <w:rsid w:val="00261D7F"/>
    <w:rsid w:val="00265FA4"/>
    <w:rsid w:val="002B1FE2"/>
    <w:rsid w:val="002B3D4A"/>
    <w:rsid w:val="00322E17"/>
    <w:rsid w:val="00365F4E"/>
    <w:rsid w:val="003674F0"/>
    <w:rsid w:val="00397332"/>
    <w:rsid w:val="004002C5"/>
    <w:rsid w:val="0040294E"/>
    <w:rsid w:val="004072A3"/>
    <w:rsid w:val="00420C18"/>
    <w:rsid w:val="00430BAF"/>
    <w:rsid w:val="0048013F"/>
    <w:rsid w:val="004B2147"/>
    <w:rsid w:val="00514609"/>
    <w:rsid w:val="00531080"/>
    <w:rsid w:val="0053273F"/>
    <w:rsid w:val="00592FBA"/>
    <w:rsid w:val="00596DCC"/>
    <w:rsid w:val="005C020C"/>
    <w:rsid w:val="005C1FC8"/>
    <w:rsid w:val="005E145B"/>
    <w:rsid w:val="005F6A8F"/>
    <w:rsid w:val="005F7C3D"/>
    <w:rsid w:val="006529CC"/>
    <w:rsid w:val="00656684"/>
    <w:rsid w:val="00682210"/>
    <w:rsid w:val="00690C49"/>
    <w:rsid w:val="006A22BA"/>
    <w:rsid w:val="006A6E5B"/>
    <w:rsid w:val="006D2333"/>
    <w:rsid w:val="006E358F"/>
    <w:rsid w:val="006F6456"/>
    <w:rsid w:val="00723398"/>
    <w:rsid w:val="00742656"/>
    <w:rsid w:val="007A1AA6"/>
    <w:rsid w:val="007A435A"/>
    <w:rsid w:val="007D3F32"/>
    <w:rsid w:val="007D6A45"/>
    <w:rsid w:val="007F094F"/>
    <w:rsid w:val="00804067"/>
    <w:rsid w:val="00827E9A"/>
    <w:rsid w:val="00844B85"/>
    <w:rsid w:val="008A2C4F"/>
    <w:rsid w:val="008C1019"/>
    <w:rsid w:val="008C1FA3"/>
    <w:rsid w:val="008C388D"/>
    <w:rsid w:val="008C6E3C"/>
    <w:rsid w:val="008D5201"/>
    <w:rsid w:val="008D6C5F"/>
    <w:rsid w:val="008E19CD"/>
    <w:rsid w:val="008E5768"/>
    <w:rsid w:val="008F646C"/>
    <w:rsid w:val="00904587"/>
    <w:rsid w:val="00906544"/>
    <w:rsid w:val="00906B38"/>
    <w:rsid w:val="00917F69"/>
    <w:rsid w:val="00946CFA"/>
    <w:rsid w:val="00951714"/>
    <w:rsid w:val="009544AB"/>
    <w:rsid w:val="009577FD"/>
    <w:rsid w:val="00996472"/>
    <w:rsid w:val="009A08F8"/>
    <w:rsid w:val="009B4E62"/>
    <w:rsid w:val="009D552C"/>
    <w:rsid w:val="00A053DA"/>
    <w:rsid w:val="00A25FD9"/>
    <w:rsid w:val="00A26C3B"/>
    <w:rsid w:val="00A43F9D"/>
    <w:rsid w:val="00A50B68"/>
    <w:rsid w:val="00AC5F05"/>
    <w:rsid w:val="00AC70DA"/>
    <w:rsid w:val="00AE1B30"/>
    <w:rsid w:val="00AE3626"/>
    <w:rsid w:val="00B0380D"/>
    <w:rsid w:val="00B11BCA"/>
    <w:rsid w:val="00B17800"/>
    <w:rsid w:val="00B44846"/>
    <w:rsid w:val="00B5663C"/>
    <w:rsid w:val="00BB41F4"/>
    <w:rsid w:val="00BC09EC"/>
    <w:rsid w:val="00BF2147"/>
    <w:rsid w:val="00C31D59"/>
    <w:rsid w:val="00C41934"/>
    <w:rsid w:val="00C52BDF"/>
    <w:rsid w:val="00C53EF0"/>
    <w:rsid w:val="00C65E11"/>
    <w:rsid w:val="00CC6994"/>
    <w:rsid w:val="00CE1C43"/>
    <w:rsid w:val="00D04EC8"/>
    <w:rsid w:val="00D1526C"/>
    <w:rsid w:val="00D32E84"/>
    <w:rsid w:val="00D53CA5"/>
    <w:rsid w:val="00D60159"/>
    <w:rsid w:val="00D96424"/>
    <w:rsid w:val="00DA1EF7"/>
    <w:rsid w:val="00DD4291"/>
    <w:rsid w:val="00E15D52"/>
    <w:rsid w:val="00E23309"/>
    <w:rsid w:val="00E35B3D"/>
    <w:rsid w:val="00E5000E"/>
    <w:rsid w:val="00E710E6"/>
    <w:rsid w:val="00EA4360"/>
    <w:rsid w:val="00EC28B3"/>
    <w:rsid w:val="00ED5025"/>
    <w:rsid w:val="00EE0434"/>
    <w:rsid w:val="00EE74CE"/>
    <w:rsid w:val="00F04C5B"/>
    <w:rsid w:val="00F25189"/>
    <w:rsid w:val="00F30134"/>
    <w:rsid w:val="00F71343"/>
    <w:rsid w:val="00F9007A"/>
    <w:rsid w:val="00F952D4"/>
    <w:rsid w:val="00F9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A74D"/>
  <w15:docId w15:val="{3A072617-B63A-473B-96DD-D1D882CE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0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2018-12-20T13:47:00Z</cp:lastPrinted>
  <dcterms:created xsi:type="dcterms:W3CDTF">2021-03-19T08:29:00Z</dcterms:created>
  <dcterms:modified xsi:type="dcterms:W3CDTF">2021-03-19T09:02:00Z</dcterms:modified>
</cp:coreProperties>
</file>