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819B3" w14:textId="77777777" w:rsidR="004F7F11" w:rsidRPr="004F7F11" w:rsidRDefault="004F7F11" w:rsidP="004F7F11">
      <w:pPr>
        <w:bidi/>
        <w:spacing w:after="0" w:line="240" w:lineRule="auto"/>
        <w:ind w:left="6" w:firstLine="57"/>
        <w:jc w:val="both"/>
        <w:rPr>
          <w:rFonts w:ascii="Simplified Arabic" w:eastAsia="Calibri" w:hAnsi="Simplified Arabic" w:cs="Simplified Arabic"/>
          <w:kern w:val="0"/>
          <w:sz w:val="32"/>
          <w:szCs w:val="32"/>
          <w14:ligatures w14:val="none"/>
        </w:rPr>
      </w:pPr>
    </w:p>
    <w:p w14:paraId="342E9BBB" w14:textId="77777777" w:rsidR="004F7F11" w:rsidRPr="004F7F11" w:rsidRDefault="004F7F11" w:rsidP="004F7F11">
      <w:pPr>
        <w:bidi/>
        <w:spacing w:after="0" w:line="240" w:lineRule="auto"/>
        <w:rPr>
          <w:rFonts w:ascii="Times New Roman" w:eastAsia="Times New Roman" w:hAnsi="Times New Roman" w:cs="Arabic Transparent"/>
          <w:b/>
          <w:bCs/>
          <w:kern w:val="0"/>
          <w:rtl/>
          <w:lang w:eastAsia="fr-FR"/>
          <w14:ligatures w14:val="none"/>
        </w:rPr>
      </w:pPr>
      <w:r w:rsidRPr="004F7F11">
        <w:rPr>
          <w:rFonts w:ascii="Times New Roman" w:eastAsia="Times New Roman" w:hAnsi="Times New Roman" w:cs="Arabic Transparent"/>
          <w:b/>
          <w:bCs/>
          <w:kern w:val="0"/>
          <w:sz w:val="28"/>
          <w:szCs w:val="28"/>
          <w:lang w:eastAsia="fr-FR"/>
          <w14:ligatures w14:val="none"/>
        </w:rPr>
        <w:t xml:space="preserve">         </w:t>
      </w:r>
      <w:r w:rsidRPr="004F7F11">
        <w:rPr>
          <w:rFonts w:ascii="Times New Roman" w:eastAsia="Times New Roman" w:hAnsi="Times New Roman" w:cs="Arabic Transparent" w:hint="cs"/>
          <w:b/>
          <w:bCs/>
          <w:kern w:val="0"/>
          <w:sz w:val="28"/>
          <w:szCs w:val="28"/>
          <w:rtl/>
          <w:lang w:eastAsia="fr-FR"/>
          <w14:ligatures w14:val="none"/>
        </w:rPr>
        <w:t xml:space="preserve">  </w:t>
      </w:r>
      <w:r w:rsidRPr="004F7F11">
        <w:rPr>
          <w:rFonts w:ascii="Times New Roman" w:eastAsia="Times New Roman" w:hAnsi="Times New Roman" w:cs="Arabic Transparent" w:hint="cs"/>
          <w:b/>
          <w:bCs/>
          <w:kern w:val="0"/>
          <w:rtl/>
          <w:lang w:eastAsia="fr-FR"/>
          <w14:ligatures w14:val="none"/>
        </w:rPr>
        <w:t>الجمهورية التونسية</w:t>
      </w:r>
    </w:p>
    <w:p w14:paraId="7B191525" w14:textId="1E8BD967" w:rsidR="004F7F11" w:rsidRPr="004F7F11" w:rsidRDefault="004F7F11" w:rsidP="004F7F11">
      <w:pPr>
        <w:bidi/>
        <w:spacing w:after="0" w:line="240" w:lineRule="auto"/>
        <w:rPr>
          <w:rFonts w:ascii="Times New Roman" w:eastAsia="Times New Roman" w:hAnsi="Times New Roman" w:cs="Arabic Transparent"/>
          <w:b/>
          <w:bCs/>
          <w:kern w:val="0"/>
          <w:rtl/>
          <w:lang w:eastAsia="fr-FR"/>
          <w14:ligatures w14:val="none"/>
        </w:rPr>
      </w:pPr>
      <w:r w:rsidRPr="004F7F11">
        <w:rPr>
          <w:rFonts w:ascii="Times New Roman" w:eastAsia="Times New Roman" w:hAnsi="Times New Roman" w:cs="Arabic Transparent" w:hint="cs"/>
          <w:b/>
          <w:bCs/>
          <w:kern w:val="0"/>
          <w:rtl/>
          <w:lang w:eastAsia="fr-FR"/>
          <w14:ligatures w14:val="none"/>
        </w:rPr>
        <w:tab/>
      </w:r>
      <w:r w:rsidRPr="004F7F11">
        <w:rPr>
          <w:rFonts w:ascii="Times New Roman" w:eastAsia="Times New Roman" w:hAnsi="Times New Roman" w:cs="Arabic Transparent"/>
          <w:b/>
          <w:bCs/>
          <w:kern w:val="0"/>
          <w:lang w:eastAsia="fr-FR"/>
          <w14:ligatures w14:val="none"/>
        </w:rPr>
        <w:t xml:space="preserve">      </w:t>
      </w:r>
      <w:r w:rsidRPr="004F7F11">
        <w:rPr>
          <w:rFonts w:ascii="Times New Roman" w:eastAsia="Times New Roman" w:hAnsi="Times New Roman" w:cs="Arabic Transparent" w:hint="cs"/>
          <w:b/>
          <w:bCs/>
          <w:kern w:val="0"/>
          <w:rtl/>
          <w:lang w:eastAsia="fr-FR"/>
          <w14:ligatures w14:val="none"/>
        </w:rPr>
        <w:tab/>
      </w:r>
      <w:r w:rsidRPr="004F7F11">
        <w:rPr>
          <w:rFonts w:ascii="Times New Roman" w:eastAsia="Times New Roman" w:hAnsi="Times New Roman" w:cs="Arabic Transparent" w:hint="cs"/>
          <w:b/>
          <w:bCs/>
          <w:kern w:val="0"/>
          <w:rtl/>
          <w:lang w:eastAsia="fr-FR"/>
          <w14:ligatures w14:val="none"/>
        </w:rPr>
        <w:tab/>
      </w:r>
      <w:r w:rsidRPr="004F7F11">
        <w:rPr>
          <w:rFonts w:ascii="Times New Roman" w:eastAsia="Times New Roman" w:hAnsi="Times New Roman" w:cs="Arabic Transparent" w:hint="cs"/>
          <w:b/>
          <w:bCs/>
          <w:kern w:val="0"/>
          <w:rtl/>
          <w:lang w:eastAsia="fr-FR"/>
          <w14:ligatures w14:val="none"/>
        </w:rPr>
        <w:tab/>
      </w:r>
      <w:r w:rsidRPr="004F7F11">
        <w:rPr>
          <w:rFonts w:ascii="Times New Roman" w:eastAsia="Times New Roman" w:hAnsi="Times New Roman" w:cs="Arabic Transparent" w:hint="cs"/>
          <w:b/>
          <w:bCs/>
          <w:kern w:val="0"/>
          <w:rtl/>
          <w:lang w:eastAsia="fr-FR"/>
          <w14:ligatures w14:val="none"/>
        </w:rPr>
        <w:tab/>
      </w:r>
      <w:r w:rsidRPr="004F7F11">
        <w:rPr>
          <w:rFonts w:ascii="Times New Roman" w:eastAsia="Times New Roman" w:hAnsi="Times New Roman" w:cs="Arabic Transparent"/>
          <w:b/>
          <w:bCs/>
          <w:kern w:val="0"/>
          <w:lang w:eastAsia="fr-FR"/>
          <w14:ligatures w14:val="none"/>
        </w:rPr>
        <w:t xml:space="preserve">   </w:t>
      </w:r>
      <w:r w:rsidRPr="004F7F11">
        <w:rPr>
          <w:rFonts w:ascii="Times New Roman" w:eastAsia="Times New Roman" w:hAnsi="Times New Roman" w:cs="Arabic Transparent" w:hint="cs"/>
          <w:b/>
          <w:bCs/>
          <w:kern w:val="0"/>
          <w:rtl/>
          <w:lang w:eastAsia="fr-FR"/>
          <w14:ligatures w14:val="none"/>
        </w:rPr>
        <w:t xml:space="preserve">           </w:t>
      </w:r>
      <w:r w:rsidRPr="004F7F11">
        <w:rPr>
          <w:rFonts w:ascii="Times New Roman" w:eastAsia="Times New Roman" w:hAnsi="Times New Roman" w:cs="Arabic Transparent"/>
          <w:b/>
          <w:bCs/>
          <w:kern w:val="0"/>
          <w:lang w:eastAsia="fr-FR"/>
          <w14:ligatures w14:val="none"/>
        </w:rPr>
        <w:t xml:space="preserve">                                                                                                        </w:t>
      </w:r>
      <w:r w:rsidRPr="004F7F11">
        <w:rPr>
          <w:rFonts w:ascii="Times New Roman" w:eastAsia="Times New Roman" w:hAnsi="Times New Roman" w:cs="Arabic Transparent" w:hint="cs"/>
          <w:b/>
          <w:bCs/>
          <w:kern w:val="0"/>
          <w:rtl/>
          <w:lang w:eastAsia="fr-FR"/>
          <w14:ligatures w14:val="none"/>
        </w:rPr>
        <w:t xml:space="preserve">  بنزرت في: </w:t>
      </w:r>
      <w:r w:rsidR="004265E7">
        <w:rPr>
          <w:rFonts w:ascii="Times New Roman" w:eastAsia="Times New Roman" w:hAnsi="Times New Roman" w:cs="Arabic Transparent" w:hint="cs"/>
          <w:b/>
          <w:bCs/>
          <w:kern w:val="0"/>
          <w:rtl/>
          <w:lang w:eastAsia="fr-FR"/>
          <w14:ligatures w14:val="none"/>
        </w:rPr>
        <w:t>16</w:t>
      </w:r>
      <w:r w:rsidR="004837D3">
        <w:rPr>
          <w:rFonts w:ascii="Times New Roman" w:eastAsia="Times New Roman" w:hAnsi="Times New Roman" w:cs="Arabic Transparent" w:hint="cs"/>
          <w:b/>
          <w:bCs/>
          <w:kern w:val="0"/>
          <w:rtl/>
          <w:lang w:eastAsia="fr-FR"/>
          <w14:ligatures w14:val="none"/>
        </w:rPr>
        <w:t xml:space="preserve"> أكتوبر 2024</w:t>
      </w:r>
    </w:p>
    <w:p w14:paraId="0C4D1FD6" w14:textId="16DEF253" w:rsidR="004F7F11" w:rsidRPr="004F7F11" w:rsidRDefault="001A310A" w:rsidP="004F7F11">
      <w:pPr>
        <w:bidi/>
        <w:spacing w:after="0" w:line="240" w:lineRule="auto"/>
        <w:jc w:val="both"/>
        <w:rPr>
          <w:rFonts w:ascii="Times New Roman" w:eastAsia="Times New Roman" w:hAnsi="Times New Roman" w:cs="Arabic Transparent"/>
          <w:kern w:val="0"/>
          <w:rtl/>
          <w:lang w:eastAsia="fr-FR"/>
          <w14:ligatures w14:val="none"/>
        </w:rPr>
      </w:pPr>
      <w:r>
        <w:rPr>
          <w:rFonts w:ascii="Times New Roman" w:eastAsia="Times New Roman" w:hAnsi="Times New Roman" w:cs="Arabic Transparent" w:hint="cs"/>
          <w:b/>
          <w:bCs/>
          <w:kern w:val="0"/>
          <w:rtl/>
          <w:lang w:eastAsia="fr-FR"/>
          <w14:ligatures w14:val="none"/>
        </w:rPr>
        <w:t xml:space="preserve">    </w:t>
      </w:r>
      <w:r w:rsidR="004F7F11" w:rsidRPr="004F7F11">
        <w:rPr>
          <w:rFonts w:ascii="Times New Roman" w:eastAsia="Times New Roman" w:hAnsi="Times New Roman" w:cs="Arabic Transparent" w:hint="cs"/>
          <w:b/>
          <w:bCs/>
          <w:kern w:val="0"/>
          <w:rtl/>
          <w:lang w:eastAsia="fr-FR"/>
          <w14:ligatures w14:val="none"/>
        </w:rPr>
        <w:t>وزارة أملاك الدولة والشؤون العقار</w:t>
      </w:r>
    </w:p>
    <w:p w14:paraId="5774B01F" w14:textId="77777777" w:rsidR="004F7F11" w:rsidRPr="004F7F11" w:rsidRDefault="004F7F11" w:rsidP="004F7F11">
      <w:pPr>
        <w:bidi/>
        <w:spacing w:after="0" w:line="240" w:lineRule="auto"/>
        <w:ind w:left="6" w:firstLine="57"/>
        <w:jc w:val="center"/>
        <w:rPr>
          <w:rFonts w:ascii="Simplified Arabic" w:eastAsia="Calibri" w:hAnsi="Simplified Arabic" w:cs="Simplified Arabic"/>
          <w:b/>
          <w:bCs/>
          <w:kern w:val="0"/>
          <w:sz w:val="36"/>
          <w:szCs w:val="36"/>
          <w:rtl/>
          <w:lang w:bidi="ar-TN"/>
          <w14:ligatures w14:val="none"/>
        </w:rPr>
      </w:pPr>
      <w:r w:rsidRPr="004F7F11">
        <w:rPr>
          <w:rFonts w:ascii="Simplified Arabic" w:eastAsia="Calibri" w:hAnsi="Simplified Arabic" w:cs="Simplified Arabic" w:hint="cs"/>
          <w:b/>
          <w:bCs/>
          <w:kern w:val="0"/>
          <w:sz w:val="36"/>
          <w:szCs w:val="36"/>
          <w:rtl/>
          <w14:ligatures w14:val="none"/>
        </w:rPr>
        <w:t>إعلان</w:t>
      </w:r>
    </w:p>
    <w:p w14:paraId="32957027" w14:textId="4942E80F" w:rsidR="004F7F11" w:rsidRPr="004F7F11" w:rsidRDefault="004F7F11" w:rsidP="004F7F11">
      <w:pPr>
        <w:bidi/>
        <w:spacing w:after="0" w:line="240" w:lineRule="auto"/>
        <w:ind w:left="6" w:firstLine="57"/>
        <w:jc w:val="center"/>
        <w:rPr>
          <w:rFonts w:ascii="Simplified Arabic" w:eastAsia="Calibri" w:hAnsi="Simplified Arabic" w:cs="Simplified Arabic"/>
          <w:b/>
          <w:bCs/>
          <w:kern w:val="0"/>
          <w:sz w:val="36"/>
          <w:szCs w:val="36"/>
          <w:rtl/>
          <w14:ligatures w14:val="none"/>
        </w:rPr>
      </w:pPr>
      <w:r w:rsidRPr="004F7F11">
        <w:rPr>
          <w:rFonts w:ascii="Simplified Arabic" w:eastAsia="Calibri" w:hAnsi="Simplified Arabic" w:cs="Simplified Arabic" w:hint="cs"/>
          <w:b/>
          <w:bCs/>
          <w:kern w:val="0"/>
          <w:sz w:val="36"/>
          <w:szCs w:val="36"/>
          <w:rtl/>
          <w14:ligatures w14:val="none"/>
        </w:rPr>
        <w:t xml:space="preserve"> كراء عقار دولي فلاحي بولاية بنزرت </w:t>
      </w:r>
      <w:r w:rsidR="005B1C33">
        <w:rPr>
          <w:rFonts w:ascii="Simplified Arabic" w:eastAsia="Calibri" w:hAnsi="Simplified Arabic" w:cs="Simplified Arabic" w:hint="cs"/>
          <w:b/>
          <w:bCs/>
          <w:kern w:val="0"/>
          <w:sz w:val="36"/>
          <w:szCs w:val="36"/>
          <w:rtl/>
          <w14:ligatures w14:val="none"/>
        </w:rPr>
        <w:t>للمرّة الثانية</w:t>
      </w:r>
    </w:p>
    <w:p w14:paraId="29FC484F" w14:textId="77777777" w:rsidR="004F7F11" w:rsidRPr="004F7F11" w:rsidRDefault="004F7F11" w:rsidP="004F7F11">
      <w:pPr>
        <w:bidi/>
        <w:spacing w:after="0" w:line="240" w:lineRule="auto"/>
        <w:ind w:firstLine="340"/>
        <w:jc w:val="both"/>
        <w:rPr>
          <w:rFonts w:ascii="Cambria" w:eastAsia="Calibri" w:hAnsi="Cambria" w:cs="Simplified Arabic"/>
          <w:kern w:val="0"/>
          <w:sz w:val="32"/>
          <w:szCs w:val="32"/>
          <w:rtl/>
          <w:lang w:bidi="ar-TN"/>
          <w14:ligatures w14:val="none"/>
        </w:rPr>
      </w:pPr>
      <w:r w:rsidRPr="004F7F11">
        <w:rPr>
          <w:rFonts w:ascii="Cambria" w:eastAsia="Calibri" w:hAnsi="Cambria" w:cs="Simplified Arabic" w:hint="cs"/>
          <w:kern w:val="0"/>
          <w:sz w:val="32"/>
          <w:szCs w:val="32"/>
          <w:rtl/>
          <w14:ligatures w14:val="none"/>
        </w:rPr>
        <w:t>تعلن وزارة أملاك الدولة والشؤون العقارية عن كراء مقسم دولي فلاحي كائن بهنشير الخرايب من معتمدية منزل جميل ولاية بنزرت</w:t>
      </w:r>
      <w:r w:rsidRPr="004F7F11">
        <w:rPr>
          <w:rFonts w:ascii="Cambria" w:eastAsia="Calibri" w:hAnsi="Cambria" w:cs="Simplified Arabic"/>
          <w:kern w:val="0"/>
          <w:sz w:val="32"/>
          <w:szCs w:val="32"/>
          <w:lang w:bidi="ar-TN"/>
          <w14:ligatures w14:val="none"/>
        </w:rPr>
        <w:t>:</w:t>
      </w:r>
      <w:r w:rsidRPr="004F7F11">
        <w:rPr>
          <w:rFonts w:ascii="Cambria" w:eastAsia="Calibri" w:hAnsi="Cambria" w:cs="Simplified Arabic"/>
          <w:kern w:val="0"/>
          <w:sz w:val="32"/>
          <w:szCs w:val="32"/>
          <w:rtl/>
          <w:lang w:bidi="ar-TN"/>
          <w14:ligatures w14:val="none"/>
        </w:rPr>
        <w:t xml:space="preserve"> </w:t>
      </w:r>
    </w:p>
    <w:tbl>
      <w:tblPr>
        <w:tblStyle w:val="Grilledutableau1"/>
        <w:bidiVisual/>
        <w:tblW w:w="0" w:type="auto"/>
        <w:tblInd w:w="-329" w:type="dxa"/>
        <w:tblLook w:val="04A0" w:firstRow="1" w:lastRow="0" w:firstColumn="1" w:lastColumn="0" w:noHBand="0" w:noVBand="1"/>
      </w:tblPr>
      <w:tblGrid>
        <w:gridCol w:w="1832"/>
        <w:gridCol w:w="1701"/>
        <w:gridCol w:w="1651"/>
        <w:gridCol w:w="2601"/>
        <w:gridCol w:w="2126"/>
        <w:gridCol w:w="1560"/>
        <w:gridCol w:w="3398"/>
      </w:tblGrid>
      <w:tr w:rsidR="004F7F11" w:rsidRPr="004F7F11" w14:paraId="7822AB52" w14:textId="77777777" w:rsidTr="004F7F11">
        <w:trPr>
          <w:trHeight w:val="694"/>
        </w:trPr>
        <w:tc>
          <w:tcPr>
            <w:tcW w:w="1832" w:type="dxa"/>
            <w:tcBorders>
              <w:top w:val="double" w:sz="4" w:space="0" w:color="auto"/>
              <w:left w:val="double" w:sz="4" w:space="0" w:color="auto"/>
              <w:bottom w:val="double" w:sz="4" w:space="0" w:color="auto"/>
              <w:right w:val="double" w:sz="4" w:space="0" w:color="auto"/>
            </w:tcBorders>
            <w:shd w:val="clear" w:color="auto" w:fill="F2F2F2"/>
          </w:tcPr>
          <w:p w14:paraId="4E6EC4C2" w14:textId="77777777" w:rsidR="004F7F11" w:rsidRPr="004F7F11" w:rsidRDefault="004F7F11" w:rsidP="004F7F11">
            <w:pPr>
              <w:bidi/>
              <w:jc w:val="center"/>
              <w:rPr>
                <w:rFonts w:ascii="Simplified Arabic" w:eastAsia="Calibri" w:hAnsi="Simplified Arabic" w:cs="Simplified Arabic"/>
                <w:b/>
                <w:bCs/>
                <w:sz w:val="28"/>
                <w:szCs w:val="28"/>
                <w:rtl/>
                <w:lang w:bidi="ar-TN"/>
              </w:rPr>
            </w:pPr>
            <w:r w:rsidRPr="004F7F11">
              <w:rPr>
                <w:rFonts w:ascii="Simplified Arabic" w:eastAsia="Calibri" w:hAnsi="Simplified Arabic" w:cs="Simplified Arabic" w:hint="cs"/>
                <w:b/>
                <w:bCs/>
                <w:sz w:val="28"/>
                <w:szCs w:val="28"/>
                <w:rtl/>
                <w:lang w:bidi="ar-TN"/>
              </w:rPr>
              <w:t>المعتمدية</w:t>
            </w:r>
          </w:p>
        </w:tc>
        <w:tc>
          <w:tcPr>
            <w:tcW w:w="1701" w:type="dxa"/>
            <w:tcBorders>
              <w:top w:val="double" w:sz="4" w:space="0" w:color="auto"/>
              <w:left w:val="double" w:sz="4" w:space="0" w:color="auto"/>
              <w:bottom w:val="double" w:sz="4" w:space="0" w:color="auto"/>
              <w:right w:val="double" w:sz="4" w:space="0" w:color="auto"/>
            </w:tcBorders>
            <w:shd w:val="clear" w:color="auto" w:fill="F2F2F2"/>
          </w:tcPr>
          <w:p w14:paraId="0A7F19F3" w14:textId="77777777" w:rsidR="004F7F11" w:rsidRPr="004F7F11" w:rsidRDefault="004F7F11" w:rsidP="004F7F11">
            <w:pPr>
              <w:bidi/>
              <w:jc w:val="center"/>
              <w:rPr>
                <w:rFonts w:ascii="Simplified Arabic" w:eastAsia="Calibri" w:hAnsi="Simplified Arabic" w:cs="Simplified Arabic"/>
                <w:b/>
                <w:bCs/>
                <w:sz w:val="28"/>
                <w:szCs w:val="28"/>
                <w:rtl/>
                <w:lang w:bidi="ar-TN"/>
              </w:rPr>
            </w:pPr>
            <w:r w:rsidRPr="004F7F11">
              <w:rPr>
                <w:rFonts w:ascii="Simplified Arabic" w:eastAsia="Calibri" w:hAnsi="Simplified Arabic" w:cs="Simplified Arabic" w:hint="cs"/>
                <w:b/>
                <w:bCs/>
                <w:sz w:val="28"/>
                <w:szCs w:val="28"/>
                <w:rtl/>
                <w:lang w:bidi="ar-TN"/>
              </w:rPr>
              <w:t>اسم العقار والموقع</w:t>
            </w:r>
          </w:p>
        </w:tc>
        <w:tc>
          <w:tcPr>
            <w:tcW w:w="1651" w:type="dxa"/>
            <w:tcBorders>
              <w:top w:val="double" w:sz="4" w:space="0" w:color="auto"/>
              <w:left w:val="double" w:sz="4" w:space="0" w:color="auto"/>
              <w:bottom w:val="double" w:sz="4" w:space="0" w:color="auto"/>
              <w:right w:val="double" w:sz="4" w:space="0" w:color="auto"/>
            </w:tcBorders>
            <w:shd w:val="clear" w:color="auto" w:fill="F2F2F2"/>
          </w:tcPr>
          <w:p w14:paraId="49134017" w14:textId="77777777" w:rsidR="004F7F11" w:rsidRPr="004F7F11" w:rsidRDefault="004F7F11" w:rsidP="004F7F11">
            <w:pPr>
              <w:bidi/>
              <w:jc w:val="center"/>
              <w:rPr>
                <w:rFonts w:ascii="Simplified Arabic" w:eastAsia="Calibri" w:hAnsi="Simplified Arabic" w:cs="Simplified Arabic"/>
                <w:b/>
                <w:bCs/>
                <w:sz w:val="28"/>
                <w:szCs w:val="28"/>
                <w:rtl/>
                <w:lang w:bidi="ar-TN"/>
              </w:rPr>
            </w:pPr>
            <w:r w:rsidRPr="004F7F11">
              <w:rPr>
                <w:rFonts w:ascii="Simplified Arabic" w:eastAsia="Calibri" w:hAnsi="Simplified Arabic" w:cs="Simplified Arabic" w:hint="cs"/>
                <w:b/>
                <w:bCs/>
                <w:sz w:val="28"/>
                <w:szCs w:val="28"/>
                <w:rtl/>
                <w:lang w:bidi="ar-TN"/>
              </w:rPr>
              <w:t>المساحة</w:t>
            </w:r>
          </w:p>
        </w:tc>
        <w:tc>
          <w:tcPr>
            <w:tcW w:w="2601" w:type="dxa"/>
            <w:tcBorders>
              <w:top w:val="double" w:sz="4" w:space="0" w:color="auto"/>
              <w:left w:val="double" w:sz="4" w:space="0" w:color="auto"/>
              <w:bottom w:val="double" w:sz="4" w:space="0" w:color="auto"/>
              <w:right w:val="double" w:sz="4" w:space="0" w:color="auto"/>
            </w:tcBorders>
            <w:shd w:val="clear" w:color="auto" w:fill="F2F2F2"/>
          </w:tcPr>
          <w:p w14:paraId="028E90C5" w14:textId="77777777" w:rsidR="004F7F11" w:rsidRPr="004F7F11" w:rsidRDefault="004F7F11" w:rsidP="004F7F11">
            <w:pPr>
              <w:bidi/>
              <w:jc w:val="center"/>
              <w:rPr>
                <w:rFonts w:ascii="Simplified Arabic" w:eastAsia="Calibri" w:hAnsi="Simplified Arabic" w:cs="Simplified Arabic"/>
                <w:b/>
                <w:bCs/>
                <w:sz w:val="28"/>
                <w:szCs w:val="28"/>
                <w:rtl/>
                <w:lang w:bidi="ar-TN"/>
              </w:rPr>
            </w:pPr>
            <w:r w:rsidRPr="004F7F11">
              <w:rPr>
                <w:rFonts w:ascii="Simplified Arabic" w:eastAsia="Calibri" w:hAnsi="Simplified Arabic" w:cs="Simplified Arabic" w:hint="cs"/>
                <w:b/>
                <w:bCs/>
                <w:sz w:val="28"/>
                <w:szCs w:val="28"/>
                <w:rtl/>
                <w:lang w:bidi="ar-TN"/>
              </w:rPr>
              <w:t>محتويات العقار</w:t>
            </w:r>
          </w:p>
        </w:tc>
        <w:tc>
          <w:tcPr>
            <w:tcW w:w="2126" w:type="dxa"/>
            <w:tcBorders>
              <w:top w:val="double" w:sz="4" w:space="0" w:color="auto"/>
              <w:left w:val="double" w:sz="4" w:space="0" w:color="auto"/>
              <w:bottom w:val="double" w:sz="4" w:space="0" w:color="auto"/>
              <w:right w:val="double" w:sz="4" w:space="0" w:color="auto"/>
            </w:tcBorders>
            <w:shd w:val="clear" w:color="auto" w:fill="F2F2F2"/>
          </w:tcPr>
          <w:p w14:paraId="325483F3" w14:textId="77777777" w:rsidR="004F7F11" w:rsidRPr="004F7F11" w:rsidRDefault="004F7F11" w:rsidP="004F7F11">
            <w:pPr>
              <w:bidi/>
              <w:jc w:val="center"/>
              <w:rPr>
                <w:rFonts w:ascii="Simplified Arabic" w:eastAsia="Calibri" w:hAnsi="Simplified Arabic" w:cs="Simplified Arabic"/>
                <w:b/>
                <w:bCs/>
                <w:sz w:val="28"/>
                <w:szCs w:val="28"/>
                <w:rtl/>
                <w:lang w:bidi="ar-TN"/>
              </w:rPr>
            </w:pPr>
            <w:r w:rsidRPr="004F7F11">
              <w:rPr>
                <w:rFonts w:ascii="Simplified Arabic" w:eastAsia="Calibri" w:hAnsi="Simplified Arabic" w:cs="Simplified Arabic" w:hint="cs"/>
                <w:b/>
                <w:bCs/>
                <w:sz w:val="28"/>
                <w:szCs w:val="28"/>
                <w:rtl/>
                <w:lang w:bidi="ar-TN"/>
              </w:rPr>
              <w:t>عدد الرسم العقاري</w:t>
            </w:r>
          </w:p>
        </w:tc>
        <w:tc>
          <w:tcPr>
            <w:tcW w:w="1560" w:type="dxa"/>
            <w:tcBorders>
              <w:top w:val="double" w:sz="4" w:space="0" w:color="auto"/>
              <w:left w:val="double" w:sz="4" w:space="0" w:color="auto"/>
              <w:bottom w:val="double" w:sz="4" w:space="0" w:color="auto"/>
              <w:right w:val="double" w:sz="4" w:space="0" w:color="auto"/>
            </w:tcBorders>
            <w:shd w:val="clear" w:color="auto" w:fill="F2F2F2"/>
          </w:tcPr>
          <w:p w14:paraId="6F56C576" w14:textId="77777777" w:rsidR="004F7F11" w:rsidRPr="004F7F11" w:rsidRDefault="004F7F11" w:rsidP="004F7F11">
            <w:pPr>
              <w:bidi/>
              <w:jc w:val="center"/>
              <w:rPr>
                <w:rFonts w:ascii="Simplified Arabic" w:eastAsia="Calibri" w:hAnsi="Simplified Arabic" w:cs="Simplified Arabic"/>
                <w:b/>
                <w:bCs/>
                <w:sz w:val="28"/>
                <w:szCs w:val="28"/>
                <w:rtl/>
                <w:lang w:bidi="ar-TN"/>
              </w:rPr>
            </w:pPr>
            <w:r w:rsidRPr="004F7F11">
              <w:rPr>
                <w:rFonts w:ascii="Simplified Arabic" w:eastAsia="Calibri" w:hAnsi="Simplified Arabic" w:cs="Simplified Arabic" w:hint="cs"/>
                <w:b/>
                <w:bCs/>
                <w:sz w:val="28"/>
                <w:szCs w:val="28"/>
                <w:rtl/>
                <w:lang w:bidi="ar-TN"/>
              </w:rPr>
              <w:t>السعر الافتتاحي</w:t>
            </w:r>
          </w:p>
        </w:tc>
        <w:tc>
          <w:tcPr>
            <w:tcW w:w="3398" w:type="dxa"/>
            <w:tcBorders>
              <w:top w:val="double" w:sz="4" w:space="0" w:color="auto"/>
              <w:left w:val="double" w:sz="4" w:space="0" w:color="auto"/>
              <w:bottom w:val="double" w:sz="4" w:space="0" w:color="auto"/>
              <w:right w:val="double" w:sz="4" w:space="0" w:color="auto"/>
            </w:tcBorders>
            <w:shd w:val="clear" w:color="auto" w:fill="F2F2F2"/>
          </w:tcPr>
          <w:p w14:paraId="6EE23BF2" w14:textId="77777777" w:rsidR="004F7F11" w:rsidRPr="004F7F11" w:rsidRDefault="004F7F11" w:rsidP="004F7F11">
            <w:pPr>
              <w:bidi/>
              <w:jc w:val="center"/>
              <w:rPr>
                <w:rFonts w:ascii="Simplified Arabic" w:eastAsia="Calibri" w:hAnsi="Simplified Arabic" w:cs="Simplified Arabic"/>
                <w:b/>
                <w:bCs/>
                <w:sz w:val="28"/>
                <w:szCs w:val="28"/>
                <w:rtl/>
                <w:lang w:bidi="ar-TN"/>
              </w:rPr>
            </w:pPr>
            <w:r w:rsidRPr="004F7F11">
              <w:rPr>
                <w:rFonts w:ascii="Simplified Arabic" w:eastAsia="Calibri" w:hAnsi="Simplified Arabic" w:cs="Simplified Arabic" w:hint="cs"/>
                <w:b/>
                <w:bCs/>
                <w:sz w:val="28"/>
                <w:szCs w:val="28"/>
                <w:rtl/>
                <w:lang w:bidi="ar-TN"/>
              </w:rPr>
              <w:t>تاريخ البتة ومكانها</w:t>
            </w:r>
          </w:p>
        </w:tc>
      </w:tr>
      <w:tr w:rsidR="004F7F11" w:rsidRPr="004F7F11" w14:paraId="2C21C11C" w14:textId="77777777" w:rsidTr="004F7F11">
        <w:trPr>
          <w:trHeight w:val="617"/>
        </w:trPr>
        <w:tc>
          <w:tcPr>
            <w:tcW w:w="1832" w:type="dxa"/>
            <w:tcBorders>
              <w:top w:val="double" w:sz="4" w:space="0" w:color="auto"/>
              <w:left w:val="double" w:sz="4" w:space="0" w:color="auto"/>
              <w:bottom w:val="double" w:sz="4" w:space="0" w:color="auto"/>
              <w:right w:val="double" w:sz="4" w:space="0" w:color="auto"/>
            </w:tcBorders>
          </w:tcPr>
          <w:p w14:paraId="65136518" w14:textId="77777777" w:rsidR="004F7F11" w:rsidRPr="004F7F11" w:rsidRDefault="004F7F11" w:rsidP="004F7F11">
            <w:pPr>
              <w:bidi/>
              <w:rPr>
                <w:rFonts w:ascii="Simplified Arabic" w:eastAsia="Calibri" w:hAnsi="Simplified Arabic" w:cs="Simplified Arabic"/>
                <w:b/>
                <w:bCs/>
                <w:sz w:val="28"/>
                <w:szCs w:val="28"/>
                <w:rtl/>
                <w:lang w:bidi="ar-TN"/>
              </w:rPr>
            </w:pPr>
            <w:r w:rsidRPr="004F7F11">
              <w:rPr>
                <w:rFonts w:ascii="Simplified Arabic" w:eastAsia="Calibri" w:hAnsi="Simplified Arabic" w:cs="Simplified Arabic" w:hint="cs"/>
                <w:b/>
                <w:bCs/>
                <w:sz w:val="28"/>
                <w:szCs w:val="28"/>
                <w:rtl/>
                <w:lang w:bidi="ar-TN"/>
              </w:rPr>
              <w:t>منزل جميل</w:t>
            </w:r>
          </w:p>
        </w:tc>
        <w:tc>
          <w:tcPr>
            <w:tcW w:w="1701" w:type="dxa"/>
            <w:tcBorders>
              <w:top w:val="double" w:sz="4" w:space="0" w:color="auto"/>
              <w:left w:val="double" w:sz="4" w:space="0" w:color="auto"/>
              <w:bottom w:val="double" w:sz="4" w:space="0" w:color="auto"/>
              <w:right w:val="double" w:sz="4" w:space="0" w:color="auto"/>
            </w:tcBorders>
          </w:tcPr>
          <w:p w14:paraId="341A30BF" w14:textId="77777777" w:rsidR="004F7F11" w:rsidRPr="004F7F11" w:rsidRDefault="004F7F11" w:rsidP="004F7F11">
            <w:pPr>
              <w:bidi/>
              <w:rPr>
                <w:rFonts w:ascii="Simplified Arabic" w:eastAsia="Calibri" w:hAnsi="Simplified Arabic" w:cs="Simplified Arabic"/>
                <w:b/>
                <w:bCs/>
                <w:sz w:val="28"/>
                <w:szCs w:val="28"/>
                <w:rtl/>
                <w:lang w:bidi="ar-TN"/>
              </w:rPr>
            </w:pPr>
            <w:r w:rsidRPr="004F7F11">
              <w:rPr>
                <w:rFonts w:ascii="Simplified Arabic" w:eastAsia="Calibri" w:hAnsi="Simplified Arabic" w:cs="Simplified Arabic" w:hint="cs"/>
                <w:b/>
                <w:bCs/>
                <w:sz w:val="28"/>
                <w:szCs w:val="28"/>
                <w:rtl/>
                <w:lang w:bidi="ar-TN"/>
              </w:rPr>
              <w:t>هنشير الخرايب</w:t>
            </w:r>
          </w:p>
        </w:tc>
        <w:tc>
          <w:tcPr>
            <w:tcW w:w="1651" w:type="dxa"/>
            <w:tcBorders>
              <w:top w:val="double" w:sz="4" w:space="0" w:color="auto"/>
              <w:left w:val="double" w:sz="4" w:space="0" w:color="auto"/>
              <w:bottom w:val="double" w:sz="4" w:space="0" w:color="auto"/>
              <w:right w:val="double" w:sz="4" w:space="0" w:color="auto"/>
            </w:tcBorders>
          </w:tcPr>
          <w:p w14:paraId="6BCCDFDB" w14:textId="77777777" w:rsidR="004F7F11" w:rsidRPr="004F7F11" w:rsidRDefault="004F7F11" w:rsidP="004F7F11">
            <w:pPr>
              <w:bidi/>
              <w:rPr>
                <w:rFonts w:ascii="Simplified Arabic" w:eastAsia="Calibri" w:hAnsi="Simplified Arabic" w:cs="Simplified Arabic"/>
                <w:b/>
                <w:bCs/>
                <w:sz w:val="28"/>
                <w:szCs w:val="28"/>
                <w:rtl/>
                <w:lang w:bidi="ar-TN"/>
              </w:rPr>
            </w:pPr>
            <w:r w:rsidRPr="004F7F11">
              <w:rPr>
                <w:rFonts w:ascii="Simplified Arabic" w:eastAsia="Calibri" w:hAnsi="Simplified Arabic" w:cs="Simplified Arabic" w:hint="cs"/>
                <w:b/>
                <w:bCs/>
                <w:sz w:val="28"/>
                <w:szCs w:val="28"/>
                <w:rtl/>
                <w:lang w:bidi="ar-TN"/>
              </w:rPr>
              <w:t>25آر 02ص</w:t>
            </w:r>
          </w:p>
        </w:tc>
        <w:tc>
          <w:tcPr>
            <w:tcW w:w="2601" w:type="dxa"/>
            <w:tcBorders>
              <w:top w:val="double" w:sz="4" w:space="0" w:color="auto"/>
              <w:left w:val="double" w:sz="4" w:space="0" w:color="auto"/>
              <w:bottom w:val="double" w:sz="4" w:space="0" w:color="auto"/>
              <w:right w:val="double" w:sz="4" w:space="0" w:color="auto"/>
            </w:tcBorders>
          </w:tcPr>
          <w:p w14:paraId="2DB4D7E9" w14:textId="77777777" w:rsidR="004F7F11" w:rsidRPr="004F7F11" w:rsidRDefault="004F7F11" w:rsidP="004F7F11">
            <w:pPr>
              <w:bidi/>
              <w:rPr>
                <w:rFonts w:ascii="Simplified Arabic" w:eastAsia="Calibri" w:hAnsi="Simplified Arabic" w:cs="Simplified Arabic"/>
                <w:b/>
                <w:bCs/>
                <w:sz w:val="28"/>
                <w:szCs w:val="28"/>
                <w:rtl/>
                <w:lang w:bidi="ar-TN"/>
              </w:rPr>
            </w:pPr>
            <w:r w:rsidRPr="004F7F11">
              <w:rPr>
                <w:rFonts w:ascii="Simplified Arabic" w:eastAsia="Calibri" w:hAnsi="Simplified Arabic" w:cs="Simplified Arabic" w:hint="cs"/>
                <w:b/>
                <w:bCs/>
                <w:sz w:val="28"/>
                <w:szCs w:val="28"/>
                <w:rtl/>
                <w:lang w:bidi="ar-TN"/>
              </w:rPr>
              <w:t xml:space="preserve">قطعة أرض بيضاء بعلية </w:t>
            </w:r>
          </w:p>
        </w:tc>
        <w:tc>
          <w:tcPr>
            <w:tcW w:w="2126" w:type="dxa"/>
            <w:tcBorders>
              <w:top w:val="double" w:sz="4" w:space="0" w:color="auto"/>
              <w:left w:val="double" w:sz="4" w:space="0" w:color="auto"/>
              <w:bottom w:val="double" w:sz="4" w:space="0" w:color="auto"/>
              <w:right w:val="double" w:sz="4" w:space="0" w:color="auto"/>
            </w:tcBorders>
          </w:tcPr>
          <w:p w14:paraId="0DCBC929" w14:textId="5D7C4ABE" w:rsidR="004F7F11" w:rsidRPr="004F7F11" w:rsidRDefault="004F7F11" w:rsidP="004F7F11">
            <w:pPr>
              <w:bidi/>
              <w:rPr>
                <w:rFonts w:ascii="Simplified Arabic" w:eastAsia="Calibri" w:hAnsi="Simplified Arabic" w:cs="Simplified Arabic"/>
                <w:b/>
                <w:bCs/>
                <w:sz w:val="28"/>
                <w:szCs w:val="28"/>
                <w:rtl/>
                <w:lang w:bidi="ar-TN"/>
              </w:rPr>
            </w:pPr>
            <w:r w:rsidRPr="004F7F11">
              <w:rPr>
                <w:rFonts w:ascii="Simplified Arabic" w:eastAsia="Calibri" w:hAnsi="Simplified Arabic" w:cs="Simplified Arabic" w:hint="cs"/>
                <w:b/>
                <w:bCs/>
                <w:sz w:val="28"/>
                <w:szCs w:val="28"/>
                <w:rtl/>
                <w:lang w:bidi="ar-TN"/>
              </w:rPr>
              <w:t>مطلب تسجيل عدد 24801</w:t>
            </w:r>
            <w:r w:rsidR="00DC7595">
              <w:rPr>
                <w:rFonts w:ascii="Simplified Arabic" w:eastAsia="Calibri" w:hAnsi="Simplified Arabic" w:cs="Simplified Arabic" w:hint="cs"/>
                <w:b/>
                <w:bCs/>
                <w:sz w:val="28"/>
                <w:szCs w:val="28"/>
                <w:rtl/>
                <w:lang w:bidi="ar-TN"/>
              </w:rPr>
              <w:t xml:space="preserve"> بنزرت</w:t>
            </w:r>
          </w:p>
          <w:p w14:paraId="5DF0D042" w14:textId="4963F531" w:rsidR="004F7F11" w:rsidRPr="004F7F11" w:rsidRDefault="004F7F11" w:rsidP="004F7F11">
            <w:pPr>
              <w:bidi/>
              <w:rPr>
                <w:rFonts w:ascii="Simplified Arabic" w:eastAsia="Calibri" w:hAnsi="Simplified Arabic" w:cs="Simplified Arabic"/>
                <w:b/>
                <w:bCs/>
                <w:sz w:val="28"/>
                <w:szCs w:val="28"/>
                <w:rtl/>
                <w:lang w:bidi="ar-TN"/>
              </w:rPr>
            </w:pPr>
          </w:p>
        </w:tc>
        <w:tc>
          <w:tcPr>
            <w:tcW w:w="1560" w:type="dxa"/>
            <w:tcBorders>
              <w:top w:val="double" w:sz="4" w:space="0" w:color="auto"/>
              <w:left w:val="double" w:sz="4" w:space="0" w:color="auto"/>
              <w:bottom w:val="double" w:sz="4" w:space="0" w:color="auto"/>
              <w:right w:val="double" w:sz="4" w:space="0" w:color="auto"/>
            </w:tcBorders>
          </w:tcPr>
          <w:p w14:paraId="7A724DD0" w14:textId="33C1F218" w:rsidR="004F7F11" w:rsidRPr="004F7F11" w:rsidRDefault="00FB7126" w:rsidP="004F7F11">
            <w:pPr>
              <w:bidi/>
              <w:rPr>
                <w:rFonts w:ascii="Simplified Arabic" w:eastAsia="Calibri" w:hAnsi="Simplified Arabic" w:cs="Simplified Arabic"/>
                <w:b/>
                <w:bCs/>
                <w:sz w:val="28"/>
                <w:szCs w:val="28"/>
                <w:rtl/>
                <w:lang w:bidi="ar-TN"/>
              </w:rPr>
            </w:pPr>
            <w:r>
              <w:rPr>
                <w:rFonts w:ascii="Simplified Arabic" w:eastAsia="Calibri" w:hAnsi="Simplified Arabic" w:cs="Simplified Arabic" w:hint="cs"/>
                <w:b/>
                <w:bCs/>
                <w:sz w:val="28"/>
                <w:szCs w:val="28"/>
                <w:rtl/>
                <w:lang w:bidi="ar-TN"/>
              </w:rPr>
              <w:t>132</w:t>
            </w:r>
            <w:r w:rsidR="004F7F11" w:rsidRPr="004F7F11">
              <w:rPr>
                <w:rFonts w:ascii="Simplified Arabic" w:eastAsia="Calibri" w:hAnsi="Simplified Arabic" w:cs="Simplified Arabic" w:hint="cs"/>
                <w:b/>
                <w:bCs/>
                <w:sz w:val="28"/>
                <w:szCs w:val="28"/>
                <w:rtl/>
                <w:lang w:bidi="ar-TN"/>
              </w:rPr>
              <w:t>د</w:t>
            </w:r>
          </w:p>
        </w:tc>
        <w:tc>
          <w:tcPr>
            <w:tcW w:w="3398" w:type="dxa"/>
            <w:tcBorders>
              <w:top w:val="double" w:sz="4" w:space="0" w:color="auto"/>
              <w:left w:val="double" w:sz="4" w:space="0" w:color="auto"/>
              <w:bottom w:val="double" w:sz="4" w:space="0" w:color="auto"/>
              <w:right w:val="double" w:sz="4" w:space="0" w:color="auto"/>
            </w:tcBorders>
          </w:tcPr>
          <w:p w14:paraId="0E201C9A" w14:textId="7049E2B3" w:rsidR="004F7F11" w:rsidRPr="004F7F11" w:rsidRDefault="004F7F11" w:rsidP="004F7F11">
            <w:pPr>
              <w:bidi/>
              <w:rPr>
                <w:rFonts w:ascii="Simplified Arabic" w:eastAsia="Calibri" w:hAnsi="Simplified Arabic" w:cs="Simplified Arabic"/>
                <w:b/>
                <w:bCs/>
                <w:sz w:val="28"/>
                <w:szCs w:val="28"/>
                <w:rtl/>
                <w:lang w:bidi="ar-TN"/>
              </w:rPr>
            </w:pPr>
            <w:r w:rsidRPr="004F7F11">
              <w:rPr>
                <w:rFonts w:ascii="Simplified Arabic" w:eastAsia="Calibri" w:hAnsi="Simplified Arabic" w:cs="Simplified Arabic" w:hint="cs"/>
                <w:b/>
                <w:bCs/>
                <w:sz w:val="28"/>
                <w:szCs w:val="28"/>
                <w:rtl/>
                <w:lang w:bidi="ar-TN"/>
              </w:rPr>
              <w:t xml:space="preserve">يوم </w:t>
            </w:r>
            <w:r w:rsidR="00FB7126">
              <w:rPr>
                <w:rFonts w:ascii="Simplified Arabic" w:eastAsia="Calibri" w:hAnsi="Simplified Arabic" w:cs="Simplified Arabic" w:hint="cs"/>
                <w:b/>
                <w:bCs/>
                <w:sz w:val="28"/>
                <w:szCs w:val="28"/>
                <w:rtl/>
                <w:lang w:bidi="ar-TN"/>
              </w:rPr>
              <w:t xml:space="preserve">الخميس </w:t>
            </w:r>
            <w:r w:rsidR="001A6733">
              <w:rPr>
                <w:rFonts w:ascii="Simplified Arabic" w:eastAsia="Calibri" w:hAnsi="Simplified Arabic" w:cs="Simplified Arabic" w:hint="cs"/>
                <w:b/>
                <w:bCs/>
                <w:sz w:val="28"/>
                <w:szCs w:val="28"/>
                <w:rtl/>
                <w:lang w:bidi="ar-TN"/>
              </w:rPr>
              <w:t>14 نوفمبر</w:t>
            </w:r>
            <w:r w:rsidR="00FB7126">
              <w:rPr>
                <w:rFonts w:ascii="Simplified Arabic" w:eastAsia="Calibri" w:hAnsi="Simplified Arabic" w:cs="Simplified Arabic" w:hint="cs"/>
                <w:b/>
                <w:bCs/>
                <w:sz w:val="28"/>
                <w:szCs w:val="28"/>
                <w:rtl/>
                <w:lang w:bidi="ar-TN"/>
              </w:rPr>
              <w:t xml:space="preserve"> 2024</w:t>
            </w:r>
          </w:p>
          <w:p w14:paraId="00F5F320" w14:textId="77777777" w:rsidR="004F7F11" w:rsidRPr="004F7F11" w:rsidRDefault="004F7F11" w:rsidP="004F7F11">
            <w:pPr>
              <w:bidi/>
              <w:rPr>
                <w:rFonts w:ascii="Simplified Arabic" w:eastAsia="Calibri" w:hAnsi="Simplified Arabic" w:cs="Simplified Arabic"/>
                <w:sz w:val="28"/>
                <w:szCs w:val="28"/>
                <w:rtl/>
                <w:lang w:bidi="ar-TN"/>
              </w:rPr>
            </w:pPr>
            <w:r w:rsidRPr="004F7F11">
              <w:rPr>
                <w:rFonts w:ascii="Simplified Arabic" w:eastAsia="Calibri" w:hAnsi="Simplified Arabic" w:cs="Simplified Arabic" w:hint="cs"/>
                <w:sz w:val="28"/>
                <w:szCs w:val="28"/>
                <w:rtl/>
                <w:lang w:bidi="ar-TN"/>
              </w:rPr>
              <w:t>على الساعة العاشرة صباحا</w:t>
            </w:r>
          </w:p>
          <w:p w14:paraId="767CC86C" w14:textId="77777777" w:rsidR="004F7F11" w:rsidRPr="004F7F11" w:rsidRDefault="004F7F11" w:rsidP="004F7F11">
            <w:pPr>
              <w:bidi/>
              <w:rPr>
                <w:rFonts w:ascii="Simplified Arabic" w:eastAsia="Calibri" w:hAnsi="Simplified Arabic" w:cs="Simplified Arabic"/>
                <w:b/>
                <w:bCs/>
                <w:sz w:val="28"/>
                <w:szCs w:val="28"/>
                <w:rtl/>
                <w:lang w:bidi="ar-TN"/>
              </w:rPr>
            </w:pPr>
            <w:r w:rsidRPr="004F7F11">
              <w:rPr>
                <w:rFonts w:ascii="Simplified Arabic" w:eastAsia="Calibri" w:hAnsi="Simplified Arabic" w:cs="Simplified Arabic" w:hint="cs"/>
                <w:sz w:val="28"/>
                <w:szCs w:val="28"/>
                <w:rtl/>
                <w:lang w:bidi="ar-TN"/>
              </w:rPr>
              <w:t>بمقر معتمدية منزل جميل</w:t>
            </w:r>
          </w:p>
        </w:tc>
      </w:tr>
    </w:tbl>
    <w:p w14:paraId="52EFF8BD" w14:textId="77777777" w:rsidR="005B1C33" w:rsidRPr="005B1C33" w:rsidRDefault="005B1C33" w:rsidP="005B1C33">
      <w:pPr>
        <w:bidi/>
        <w:spacing w:after="0" w:line="240" w:lineRule="auto"/>
        <w:jc w:val="both"/>
        <w:rPr>
          <w:rFonts w:ascii="Simplified Arabic" w:eastAsia="Calibri" w:hAnsi="Simplified Arabic" w:cs="Simplified Arabic"/>
          <w:b/>
          <w:bCs/>
          <w:kern w:val="0"/>
          <w14:ligatures w14:val="none"/>
        </w:rPr>
      </w:pPr>
      <w:r w:rsidRPr="005B1C33">
        <w:rPr>
          <w:rFonts w:ascii="Simplified Arabic" w:eastAsia="Calibri" w:hAnsi="Simplified Arabic" w:cs="Simplified Arabic"/>
          <w:kern w:val="0"/>
          <w:rtl/>
          <w14:ligatures w14:val="none"/>
        </w:rPr>
        <w:t xml:space="preserve">يكون الكراء </w:t>
      </w:r>
      <w:r w:rsidRPr="005B1C33">
        <w:rPr>
          <w:rFonts w:ascii="Simplified Arabic" w:eastAsia="Calibri" w:hAnsi="Simplified Arabic" w:cs="Simplified Arabic"/>
          <w:b/>
          <w:bCs/>
          <w:kern w:val="0"/>
          <w:rtl/>
          <w14:ligatures w14:val="none"/>
        </w:rPr>
        <w:t>بالحاضر سواء نقدا أو بواسطة صك مؤشر عليه</w:t>
      </w:r>
      <w:r w:rsidRPr="005B1C33">
        <w:rPr>
          <w:rFonts w:ascii="Simplified Arabic" w:eastAsia="Calibri" w:hAnsi="Simplified Arabic" w:cs="Simplified Arabic"/>
          <w:kern w:val="0"/>
          <w:rtl/>
          <w14:ligatures w14:val="none"/>
        </w:rPr>
        <w:t xml:space="preserve"> ويتعين على كل راغب في المشاركة في البتة أن </w:t>
      </w:r>
      <w:r w:rsidRPr="005B1C33">
        <w:rPr>
          <w:rFonts w:ascii="Simplified Arabic" w:eastAsia="Calibri" w:hAnsi="Simplified Arabic" w:cs="Simplified Arabic"/>
          <w:b/>
          <w:bCs/>
          <w:kern w:val="0"/>
          <w:rtl/>
          <w14:ligatures w14:val="none"/>
        </w:rPr>
        <w:t>يؤمن ثلث مبلغ السعر الافتتاحي لدى قابض المالية المختص ترابيا.</w:t>
      </w:r>
      <w:r w:rsidRPr="005B1C33">
        <w:rPr>
          <w:rFonts w:ascii="Simplified Arabic" w:eastAsia="Calibri" w:hAnsi="Simplified Arabic" w:cs="Simplified Arabic"/>
          <w:kern w:val="0"/>
          <w:rtl/>
          <w14:ligatures w14:val="none"/>
        </w:rPr>
        <w:t xml:space="preserve"> </w:t>
      </w:r>
    </w:p>
    <w:p w14:paraId="5B2642B3" w14:textId="77777777" w:rsidR="005B1C33" w:rsidRPr="005B1C33" w:rsidRDefault="005B1C33" w:rsidP="005B1C33">
      <w:pPr>
        <w:bidi/>
        <w:spacing w:after="0" w:line="240" w:lineRule="auto"/>
        <w:jc w:val="both"/>
        <w:rPr>
          <w:rFonts w:ascii="Simplified Arabic" w:eastAsia="Calibri" w:hAnsi="Simplified Arabic" w:cs="Simplified Arabic"/>
          <w:kern w:val="0"/>
          <w:rtl/>
          <w14:ligatures w14:val="none"/>
        </w:rPr>
      </w:pPr>
      <w:r w:rsidRPr="005B1C33">
        <w:rPr>
          <w:rFonts w:ascii="Simplified Arabic" w:eastAsia="Calibri" w:hAnsi="Simplified Arabic" w:cs="Simplified Arabic"/>
          <w:kern w:val="0"/>
          <w:rtl/>
          <w14:ligatures w14:val="none"/>
        </w:rPr>
        <w:t>لا يمكن أن تكون البتة نهائية إلا بعد مضي 48 ساعة من تاريخ التبتيت.</w:t>
      </w:r>
    </w:p>
    <w:p w14:paraId="65D9B746" w14:textId="77777777" w:rsidR="005B1C33" w:rsidRPr="005B1C33" w:rsidRDefault="005B1C33" w:rsidP="005B1C33">
      <w:pPr>
        <w:bidi/>
        <w:spacing w:after="0" w:line="240" w:lineRule="auto"/>
        <w:jc w:val="both"/>
        <w:rPr>
          <w:rFonts w:ascii="Simplified Arabic" w:eastAsia="Calibri" w:hAnsi="Simplified Arabic" w:cs="Simplified Arabic"/>
          <w:kern w:val="0"/>
          <w:rtl/>
          <w14:ligatures w14:val="none"/>
        </w:rPr>
      </w:pPr>
      <w:r w:rsidRPr="005B1C33">
        <w:rPr>
          <w:rFonts w:ascii="Simplified Arabic" w:eastAsia="Calibri" w:hAnsi="Simplified Arabic" w:cs="Simplified Arabic"/>
          <w:kern w:val="0"/>
          <w:rtl/>
          <w14:ligatures w14:val="none"/>
        </w:rPr>
        <w:t>يتعين على المبتت له دفع كامل المبلغ الذي أرست عليه البتة والمصاريف القانونية ناجزا أي عند الانتهاء من عملية التبتيت مع إمكانية استرجاع ذلك المبلغ إذا آلت البتة نهائيا لفائدة المسدس.</w:t>
      </w:r>
    </w:p>
    <w:p w14:paraId="6C58E7FF" w14:textId="77777777" w:rsidR="005B1C33" w:rsidRPr="005B1C33" w:rsidRDefault="005B1C33" w:rsidP="005B1C33">
      <w:pPr>
        <w:bidi/>
        <w:spacing w:after="0" w:line="240" w:lineRule="auto"/>
        <w:jc w:val="both"/>
        <w:rPr>
          <w:rFonts w:ascii="Simplified Arabic" w:eastAsia="Calibri" w:hAnsi="Simplified Arabic" w:cs="Simplified Arabic"/>
          <w:b/>
          <w:bCs/>
          <w:kern w:val="0"/>
          <w:rtl/>
          <w14:ligatures w14:val="none"/>
        </w:rPr>
      </w:pPr>
      <w:r w:rsidRPr="005B1C33">
        <w:rPr>
          <w:rFonts w:ascii="Simplified Arabic" w:eastAsia="Calibri" w:hAnsi="Simplified Arabic" w:cs="Simplified Arabic"/>
          <w:b/>
          <w:bCs/>
          <w:kern w:val="0"/>
          <w:rtl/>
          <w14:ligatures w14:val="none"/>
        </w:rPr>
        <w:t>يمكن للراغبين زيارة العقار لمعاينته قبل موعد البتة.</w:t>
      </w:r>
    </w:p>
    <w:p w14:paraId="29C90D3C" w14:textId="77777777" w:rsidR="005B1C33" w:rsidRPr="005B1C33" w:rsidRDefault="005B1C33" w:rsidP="005B1C33">
      <w:pPr>
        <w:bidi/>
        <w:spacing w:after="0" w:line="240" w:lineRule="auto"/>
        <w:jc w:val="both"/>
        <w:rPr>
          <w:rFonts w:ascii="Simplified Arabic" w:eastAsia="Calibri" w:hAnsi="Simplified Arabic" w:cs="Simplified Arabic"/>
          <w:b/>
          <w:bCs/>
          <w:kern w:val="0"/>
          <w14:ligatures w14:val="none"/>
        </w:rPr>
      </w:pPr>
      <w:bookmarkStart w:id="0" w:name="_Hlk156990178"/>
      <w:r w:rsidRPr="005B1C33">
        <w:rPr>
          <w:rFonts w:ascii="Simplified Arabic" w:eastAsia="Calibri" w:hAnsi="Simplified Arabic" w:cs="Simplified Arabic"/>
          <w:b/>
          <w:bCs/>
          <w:kern w:val="0"/>
          <w:rtl/>
          <w:lang w:bidi="ar-TN"/>
          <w14:ligatures w14:val="none"/>
        </w:rPr>
        <w:t>يتعين على كل من يرغب في المشاركة في البتة تسوية وضعيته الجبائية قبل 20 يوما على الأقل من التاريخ المحدد لإجراء البتة.</w:t>
      </w:r>
    </w:p>
    <w:p w14:paraId="210D8A58" w14:textId="77777777" w:rsidR="005B1C33" w:rsidRPr="005B1C33" w:rsidRDefault="005B1C33" w:rsidP="005B1C33">
      <w:pPr>
        <w:bidi/>
        <w:spacing w:after="0" w:line="240" w:lineRule="auto"/>
        <w:jc w:val="both"/>
        <w:rPr>
          <w:rFonts w:ascii="Simplified Arabic" w:eastAsia="Calibri" w:hAnsi="Simplified Arabic" w:cs="Simplified Arabic"/>
          <w:b/>
          <w:bCs/>
          <w:kern w:val="0"/>
          <w:rtl/>
          <w:lang w:bidi="ar-TN"/>
          <w14:ligatures w14:val="none"/>
        </w:rPr>
      </w:pPr>
      <w:r w:rsidRPr="005B1C33">
        <w:rPr>
          <w:rFonts w:ascii="Simplified Arabic" w:eastAsia="Calibri" w:hAnsi="Simplified Arabic" w:cs="Simplified Arabic"/>
          <w:b/>
          <w:bCs/>
          <w:kern w:val="0"/>
          <w:rtl/>
          <w:lang w:bidi="ar-TN"/>
          <w14:ligatures w14:val="none"/>
        </w:rPr>
        <w:t>يتعين على كل مشارك في البتة تقديم تصريح على الشرف مسجل بالقباضة المالية بخصوص عدم وجود قضية ضده في أي طور تكون الدولة طرفا فيها طالبة أو مطلوبة أو متخلدة بذمته ديون راجعة للدولة.</w:t>
      </w:r>
    </w:p>
    <w:p w14:paraId="1F8119C1" w14:textId="77777777" w:rsidR="005B1C33" w:rsidRPr="005B1C33" w:rsidRDefault="005B1C33" w:rsidP="005B1C33">
      <w:pPr>
        <w:bidi/>
        <w:spacing w:after="0" w:line="240" w:lineRule="auto"/>
        <w:jc w:val="both"/>
        <w:rPr>
          <w:rFonts w:ascii="Simplified Arabic" w:eastAsia="Calibri" w:hAnsi="Simplified Arabic" w:cs="Simplified Arabic"/>
          <w:b/>
          <w:bCs/>
          <w:kern w:val="0"/>
          <w:rtl/>
          <w:lang w:bidi="ar-TN"/>
          <w14:ligatures w14:val="none"/>
        </w:rPr>
      </w:pPr>
      <w:r w:rsidRPr="005B1C33">
        <w:rPr>
          <w:rFonts w:ascii="Simplified Arabic" w:eastAsia="Calibri" w:hAnsi="Simplified Arabic" w:cs="Simplified Arabic"/>
          <w:b/>
          <w:bCs/>
          <w:kern w:val="0"/>
          <w:rtl/>
          <w:lang w:bidi="ar-TN"/>
          <w14:ligatures w14:val="none"/>
        </w:rPr>
        <w:t>يلتزم المبتت له بدفع مصاريف أشغال الموسم الفلاحي الجاري المحددة من قبل المتصرف السابق كديوان الأراضي الدولية أو غيره من الهياكل المتعهدة بالعقار (شهادة مصاريف) من قبل المبتت له وذلك قبل تحوزه بالعقار.</w:t>
      </w:r>
    </w:p>
    <w:p w14:paraId="36C5B50A" w14:textId="77777777" w:rsidR="005B1C33" w:rsidRPr="005B1C33" w:rsidRDefault="005B1C33" w:rsidP="005B1C33">
      <w:pPr>
        <w:bidi/>
        <w:spacing w:after="0" w:line="240" w:lineRule="auto"/>
        <w:jc w:val="both"/>
        <w:rPr>
          <w:rFonts w:ascii="Simplified Arabic" w:eastAsia="Calibri" w:hAnsi="Simplified Arabic" w:cs="Simplified Arabic"/>
          <w:kern w:val="0"/>
          <w14:ligatures w14:val="none"/>
        </w:rPr>
      </w:pPr>
      <w:r w:rsidRPr="005B1C33">
        <w:rPr>
          <w:rFonts w:ascii="Simplified Arabic" w:eastAsia="Calibri" w:hAnsi="Simplified Arabic" w:cs="Simplified Arabic"/>
          <w:kern w:val="0"/>
          <w:rtl/>
          <w:lang w:bidi="ar-TN"/>
          <w14:ligatures w14:val="none"/>
        </w:rPr>
        <w:t xml:space="preserve">لمزيد الارشادات يمكن الاتصال بالإدارة الجهوية لأملاك الدولة والشؤون العقارية ببنزرت الكائن مقرها 87 نهج ابن خلدون 7000 بنزرت أو بالإدارة العامة للعقارات الفلاحية الكائن مقرها 43 نهج إيران تونس. </w:t>
      </w:r>
      <w:bookmarkEnd w:id="0"/>
    </w:p>
    <w:sectPr w:rsidR="005B1C33" w:rsidRPr="005B1C33" w:rsidSect="00516942">
      <w:pgSz w:w="16838" w:h="11906" w:orient="landscape"/>
      <w:pgMar w:top="567" w:right="1134" w:bottom="567" w:left="1134"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11"/>
    <w:rsid w:val="000C68FE"/>
    <w:rsid w:val="000D4461"/>
    <w:rsid w:val="0016275A"/>
    <w:rsid w:val="0017675F"/>
    <w:rsid w:val="001A310A"/>
    <w:rsid w:val="001A6733"/>
    <w:rsid w:val="003E4A88"/>
    <w:rsid w:val="004265E7"/>
    <w:rsid w:val="004339EC"/>
    <w:rsid w:val="004837D3"/>
    <w:rsid w:val="004F7F11"/>
    <w:rsid w:val="005B1C33"/>
    <w:rsid w:val="0088144B"/>
    <w:rsid w:val="00885DA9"/>
    <w:rsid w:val="00900D55"/>
    <w:rsid w:val="00903F68"/>
    <w:rsid w:val="00DA5D45"/>
    <w:rsid w:val="00DC7595"/>
    <w:rsid w:val="00E55332"/>
    <w:rsid w:val="00FA04BB"/>
    <w:rsid w:val="00FB71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37AD"/>
  <w15:chartTrackingRefBased/>
  <w15:docId w15:val="{D89101AB-E7FF-46CE-AFD4-D444EE6D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F7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F7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F7F1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F7F1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F7F1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F7F1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F7F1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F7F1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F7F1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7F1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F7F1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F7F1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F7F1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F7F1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F7F1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F7F1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F7F1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F7F11"/>
    <w:rPr>
      <w:rFonts w:eastAsiaTheme="majorEastAsia" w:cstheme="majorBidi"/>
      <w:color w:val="272727" w:themeColor="text1" w:themeTint="D8"/>
    </w:rPr>
  </w:style>
  <w:style w:type="paragraph" w:styleId="Titre">
    <w:name w:val="Title"/>
    <w:basedOn w:val="Normal"/>
    <w:next w:val="Normal"/>
    <w:link w:val="TitreCar"/>
    <w:uiPriority w:val="10"/>
    <w:qFormat/>
    <w:rsid w:val="004F7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7F1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F7F1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F7F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F7F11"/>
    <w:pPr>
      <w:spacing w:before="160"/>
      <w:jc w:val="center"/>
    </w:pPr>
    <w:rPr>
      <w:i/>
      <w:iCs/>
      <w:color w:val="404040" w:themeColor="text1" w:themeTint="BF"/>
    </w:rPr>
  </w:style>
  <w:style w:type="character" w:customStyle="1" w:styleId="CitationCar">
    <w:name w:val="Citation Car"/>
    <w:basedOn w:val="Policepardfaut"/>
    <w:link w:val="Citation"/>
    <w:uiPriority w:val="29"/>
    <w:rsid w:val="004F7F11"/>
    <w:rPr>
      <w:i/>
      <w:iCs/>
      <w:color w:val="404040" w:themeColor="text1" w:themeTint="BF"/>
    </w:rPr>
  </w:style>
  <w:style w:type="paragraph" w:styleId="Paragraphedeliste">
    <w:name w:val="List Paragraph"/>
    <w:basedOn w:val="Normal"/>
    <w:uiPriority w:val="34"/>
    <w:qFormat/>
    <w:rsid w:val="004F7F11"/>
    <w:pPr>
      <w:ind w:left="720"/>
      <w:contextualSpacing/>
    </w:pPr>
  </w:style>
  <w:style w:type="character" w:styleId="Accentuationintense">
    <w:name w:val="Intense Emphasis"/>
    <w:basedOn w:val="Policepardfaut"/>
    <w:uiPriority w:val="21"/>
    <w:qFormat/>
    <w:rsid w:val="004F7F11"/>
    <w:rPr>
      <w:i/>
      <w:iCs/>
      <w:color w:val="0F4761" w:themeColor="accent1" w:themeShade="BF"/>
    </w:rPr>
  </w:style>
  <w:style w:type="paragraph" w:styleId="Citationintense">
    <w:name w:val="Intense Quote"/>
    <w:basedOn w:val="Normal"/>
    <w:next w:val="Normal"/>
    <w:link w:val="CitationintenseCar"/>
    <w:uiPriority w:val="30"/>
    <w:qFormat/>
    <w:rsid w:val="004F7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F7F11"/>
    <w:rPr>
      <w:i/>
      <w:iCs/>
      <w:color w:val="0F4761" w:themeColor="accent1" w:themeShade="BF"/>
    </w:rPr>
  </w:style>
  <w:style w:type="character" w:styleId="Rfrenceintense">
    <w:name w:val="Intense Reference"/>
    <w:basedOn w:val="Policepardfaut"/>
    <w:uiPriority w:val="32"/>
    <w:qFormat/>
    <w:rsid w:val="004F7F11"/>
    <w:rPr>
      <w:b/>
      <w:bCs/>
      <w:smallCaps/>
      <w:color w:val="0F4761" w:themeColor="accent1" w:themeShade="BF"/>
      <w:spacing w:val="5"/>
    </w:rPr>
  </w:style>
  <w:style w:type="table" w:customStyle="1" w:styleId="Grilledutableau1">
    <w:name w:val="Grille du tableau1"/>
    <w:basedOn w:val="TableauNormal"/>
    <w:next w:val="Grilledutableau"/>
    <w:uiPriority w:val="59"/>
    <w:rsid w:val="004F7F11"/>
    <w:pPr>
      <w:spacing w:after="0" w:line="240" w:lineRule="auto"/>
      <w:ind w:left="6" w:firstLine="57"/>
      <w:jc w:val="both"/>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4F7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5721">
      <w:bodyDiv w:val="1"/>
      <w:marLeft w:val="0"/>
      <w:marRight w:val="0"/>
      <w:marTop w:val="0"/>
      <w:marBottom w:val="0"/>
      <w:divBdr>
        <w:top w:val="none" w:sz="0" w:space="0" w:color="auto"/>
        <w:left w:val="none" w:sz="0" w:space="0" w:color="auto"/>
        <w:bottom w:val="none" w:sz="0" w:space="0" w:color="auto"/>
        <w:right w:val="none" w:sz="0" w:space="0" w:color="auto"/>
      </w:divBdr>
    </w:div>
    <w:div w:id="119730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280</Words>
  <Characters>1544</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Henda Elbejoui</dc:creator>
  <cp:keywords/>
  <dc:description/>
  <cp:lastModifiedBy>lotfi.marnici@domainetat.local</cp:lastModifiedBy>
  <cp:revision>16</cp:revision>
  <cp:lastPrinted>2024-10-14T14:38:00Z</cp:lastPrinted>
  <dcterms:created xsi:type="dcterms:W3CDTF">2024-06-18T08:43:00Z</dcterms:created>
  <dcterms:modified xsi:type="dcterms:W3CDTF">2024-10-16T14:02:00Z</dcterms:modified>
</cp:coreProperties>
</file>